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2A57" w14:textId="0EDED2F9" w:rsidR="003B35D7" w:rsidRPr="00994AF3" w:rsidRDefault="003B35D7" w:rsidP="00994AF3">
      <w:pPr>
        <w:spacing w:line="280" w:lineRule="exact"/>
        <w:rPr>
          <w:rFonts w:ascii="Arial" w:hAnsi="Arial" w:cs="Arial"/>
          <w:b/>
        </w:rPr>
      </w:pPr>
    </w:p>
    <w:p w14:paraId="13E12A58" w14:textId="67F0B621" w:rsidR="00AC7E80" w:rsidRPr="00994AF3" w:rsidRDefault="005752F7" w:rsidP="00994AF3">
      <w:pPr>
        <w:spacing w:line="280" w:lineRule="exact"/>
        <w:rPr>
          <w:rFonts w:ascii="Arial" w:hAnsi="Arial" w:cs="Arial"/>
          <w:b/>
        </w:rPr>
      </w:pPr>
      <w:r w:rsidRPr="00994AF3">
        <w:rPr>
          <w:rFonts w:ascii="Arial" w:hAnsi="Arial" w:cs="Arial"/>
          <w:b/>
          <w:noProof/>
        </w:rPr>
        <w:drawing>
          <wp:anchor distT="0" distB="0" distL="114300" distR="114300" simplePos="0" relativeHeight="251658240" behindDoc="1" locked="0" layoutInCell="1" allowOverlap="1" wp14:anchorId="1887F658" wp14:editId="33024617">
            <wp:simplePos x="0" y="0"/>
            <wp:positionH relativeFrom="column">
              <wp:posOffset>0</wp:posOffset>
            </wp:positionH>
            <wp:positionV relativeFrom="paragraph">
              <wp:posOffset>-635</wp:posOffset>
            </wp:positionV>
            <wp:extent cx="1384300" cy="554798"/>
            <wp:effectExtent l="0" t="0" r="6350" b="0"/>
            <wp:wrapNone/>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5038" cy="555094"/>
                    </a:xfrm>
                    <a:prstGeom prst="rect">
                      <a:avLst/>
                    </a:prstGeom>
                  </pic:spPr>
                </pic:pic>
              </a:graphicData>
            </a:graphic>
            <wp14:sizeRelH relativeFrom="margin">
              <wp14:pctWidth>0</wp14:pctWidth>
            </wp14:sizeRelH>
            <wp14:sizeRelV relativeFrom="margin">
              <wp14:pctHeight>0</wp14:pctHeight>
            </wp14:sizeRelV>
          </wp:anchor>
        </w:drawing>
      </w:r>
    </w:p>
    <w:p w14:paraId="13E12A59" w14:textId="77777777" w:rsidR="00AC7E80" w:rsidRPr="00994AF3" w:rsidRDefault="00AC7E80" w:rsidP="00994AF3">
      <w:pPr>
        <w:spacing w:line="280" w:lineRule="exact"/>
        <w:rPr>
          <w:rFonts w:ascii="Arial" w:hAnsi="Arial" w:cs="Arial"/>
          <w:b/>
        </w:rPr>
      </w:pPr>
    </w:p>
    <w:p w14:paraId="13E12A5A" w14:textId="77777777" w:rsidR="00AC7E80" w:rsidRPr="00994AF3" w:rsidRDefault="00AC7E80" w:rsidP="00994AF3">
      <w:pPr>
        <w:spacing w:line="280" w:lineRule="exact"/>
        <w:rPr>
          <w:rFonts w:ascii="Arial" w:hAnsi="Arial" w:cs="Arial"/>
          <w:b/>
        </w:rPr>
      </w:pPr>
    </w:p>
    <w:p w14:paraId="13E12A5B" w14:textId="77777777" w:rsidR="00AC7E80" w:rsidRPr="00994AF3" w:rsidRDefault="00AC7E80" w:rsidP="00994AF3">
      <w:pPr>
        <w:spacing w:line="280" w:lineRule="exact"/>
        <w:rPr>
          <w:rFonts w:ascii="Arial" w:hAnsi="Arial" w:cs="Arial"/>
          <w:b/>
        </w:rPr>
      </w:pPr>
    </w:p>
    <w:p w14:paraId="13E12A61" w14:textId="77777777" w:rsidR="00374D9F" w:rsidRPr="004C0427" w:rsidRDefault="00374D9F" w:rsidP="00374D9F">
      <w:pPr>
        <w:rPr>
          <w:rFonts w:ascii="Work Sans" w:hAnsi="Work Sans" w:cs="Arial"/>
        </w:rPr>
      </w:pPr>
    </w:p>
    <w:tbl>
      <w:tblPr>
        <w:tblpPr w:leftFromText="180" w:rightFromText="180" w:vertAnchor="text" w:horzAnchor="margin" w:tblpX="-284" w:tblpY="144"/>
        <w:tblW w:w="10472" w:type="dxa"/>
        <w:tblLook w:val="01E0" w:firstRow="1" w:lastRow="1" w:firstColumn="1" w:lastColumn="1" w:noHBand="0" w:noVBand="0"/>
      </w:tblPr>
      <w:tblGrid>
        <w:gridCol w:w="10472"/>
      </w:tblGrid>
      <w:tr w:rsidR="00994AF3" w:rsidRPr="004C0427" w14:paraId="25B2FCD4" w14:textId="77777777" w:rsidTr="00994AF3">
        <w:trPr>
          <w:trHeight w:val="425"/>
        </w:trPr>
        <w:tc>
          <w:tcPr>
            <w:tcW w:w="10472" w:type="dxa"/>
          </w:tcPr>
          <w:p w14:paraId="3A59E500" w14:textId="36CB5DD2" w:rsidR="00994AF3" w:rsidRPr="004C0427" w:rsidRDefault="00994AF3" w:rsidP="00994AF3">
            <w:pPr>
              <w:jc w:val="right"/>
              <w:rPr>
                <w:rFonts w:ascii="Work Sans" w:hAnsi="Work Sans" w:cs="Arial"/>
                <w:b/>
                <w:caps/>
              </w:rPr>
            </w:pPr>
            <w:r w:rsidRPr="004C0427">
              <w:rPr>
                <w:rFonts w:ascii="Work Sans" w:hAnsi="Work Sans" w:cs="Arial"/>
                <w:b/>
              </w:rPr>
              <w:t>External</w:t>
            </w:r>
          </w:p>
        </w:tc>
      </w:tr>
      <w:tr w:rsidR="00994AF3" w:rsidRPr="004C0427" w14:paraId="37127858" w14:textId="77777777" w:rsidTr="00994AF3">
        <w:trPr>
          <w:trHeight w:val="425"/>
        </w:trPr>
        <w:tc>
          <w:tcPr>
            <w:tcW w:w="10472" w:type="dxa"/>
          </w:tcPr>
          <w:p w14:paraId="1249DF91" w14:textId="51658075" w:rsidR="00994AF3" w:rsidRPr="004C0427" w:rsidRDefault="00994AF3" w:rsidP="00994AF3">
            <w:pPr>
              <w:jc w:val="right"/>
              <w:rPr>
                <w:rFonts w:ascii="Work Sans" w:hAnsi="Work Sans" w:cs="Arial"/>
                <w:b/>
                <w:caps/>
              </w:rPr>
            </w:pPr>
            <w:r w:rsidRPr="004C0427">
              <w:rPr>
                <w:rFonts w:ascii="Work Sans" w:hAnsi="Work Sans" w:cs="Arial"/>
              </w:rPr>
              <w:t xml:space="preserve">Agenda item: </w:t>
            </w:r>
            <w:r w:rsidR="00B705D1">
              <w:rPr>
                <w:rFonts w:ascii="Work Sans" w:hAnsi="Work Sans" w:cs="Arial"/>
              </w:rPr>
              <w:t>7.5</w:t>
            </w:r>
          </w:p>
        </w:tc>
      </w:tr>
      <w:tr w:rsidR="004551F4" w:rsidRPr="004C0427" w14:paraId="13E12A64" w14:textId="77777777" w:rsidTr="00994AF3">
        <w:trPr>
          <w:trHeight w:val="425"/>
        </w:trPr>
        <w:tc>
          <w:tcPr>
            <w:tcW w:w="10472" w:type="dxa"/>
          </w:tcPr>
          <w:p w14:paraId="37231E90" w14:textId="77777777" w:rsidR="004551F4" w:rsidRPr="004C0427" w:rsidRDefault="004551F4" w:rsidP="004551F4">
            <w:pPr>
              <w:jc w:val="center"/>
              <w:rPr>
                <w:rFonts w:ascii="Work Sans" w:hAnsi="Work Sans" w:cs="Arial"/>
                <w:b/>
                <w:caps/>
              </w:rPr>
            </w:pPr>
            <w:r w:rsidRPr="004C0427">
              <w:rPr>
                <w:rFonts w:ascii="Work Sans" w:hAnsi="Work Sans" w:cs="Arial"/>
                <w:b/>
                <w:caps/>
              </w:rPr>
              <w:t xml:space="preserve">SYHA </w:t>
            </w:r>
            <w:r>
              <w:rPr>
                <w:rFonts w:ascii="Work Sans" w:hAnsi="Work Sans" w:cs="Arial"/>
                <w:b/>
                <w:caps/>
              </w:rPr>
              <w:t xml:space="preserve">GROUP </w:t>
            </w:r>
            <w:r w:rsidRPr="004C0427">
              <w:rPr>
                <w:rFonts w:ascii="Work Sans" w:hAnsi="Work Sans" w:cs="Arial"/>
                <w:b/>
                <w:caps/>
              </w:rPr>
              <w:t>BOARD MEETIN</w:t>
            </w:r>
            <w:r>
              <w:rPr>
                <w:rFonts w:ascii="Work Sans" w:hAnsi="Work Sans" w:cs="Arial"/>
                <w:b/>
                <w:caps/>
              </w:rPr>
              <w:t>G</w:t>
            </w:r>
          </w:p>
          <w:p w14:paraId="13E12A63" w14:textId="6805BDB6" w:rsidR="004551F4" w:rsidRPr="004C0427" w:rsidRDefault="004551F4" w:rsidP="004551F4">
            <w:pPr>
              <w:jc w:val="center"/>
              <w:rPr>
                <w:rFonts w:ascii="Work Sans" w:hAnsi="Work Sans" w:cs="Arial"/>
                <w:caps/>
              </w:rPr>
            </w:pPr>
            <w:r w:rsidRPr="004C0427">
              <w:rPr>
                <w:rFonts w:ascii="Work Sans" w:hAnsi="Work Sans" w:cs="Arial"/>
                <w:b/>
                <w:caps/>
              </w:rPr>
              <w:t xml:space="preserve"> </w:t>
            </w:r>
            <w:r w:rsidR="00753485">
              <w:rPr>
                <w:rFonts w:ascii="Work Sans" w:hAnsi="Work Sans" w:cs="Arial"/>
                <w:b/>
                <w:caps/>
              </w:rPr>
              <w:t>1</w:t>
            </w:r>
            <w:r w:rsidR="00CB5FD0">
              <w:rPr>
                <w:rFonts w:ascii="Work Sans" w:hAnsi="Work Sans" w:cs="Arial"/>
                <w:b/>
                <w:caps/>
              </w:rPr>
              <w:t>0</w:t>
            </w:r>
            <w:r w:rsidR="00753485">
              <w:rPr>
                <w:rFonts w:ascii="Work Sans" w:hAnsi="Work Sans" w:cs="Arial"/>
                <w:b/>
                <w:caps/>
              </w:rPr>
              <w:t xml:space="preserve"> </w:t>
            </w:r>
            <w:r>
              <w:rPr>
                <w:rFonts w:ascii="Work Sans" w:hAnsi="Work Sans" w:cs="Arial"/>
                <w:b/>
                <w:caps/>
              </w:rPr>
              <w:t>june 202</w:t>
            </w:r>
            <w:r w:rsidR="00CB5FD0">
              <w:rPr>
                <w:rFonts w:ascii="Work Sans" w:hAnsi="Work Sans" w:cs="Arial"/>
                <w:b/>
                <w:caps/>
              </w:rPr>
              <w:t>6</w:t>
            </w:r>
          </w:p>
        </w:tc>
      </w:tr>
      <w:tr w:rsidR="004551F4" w:rsidRPr="004C0427" w14:paraId="13E12A66" w14:textId="77777777" w:rsidTr="00994AF3">
        <w:trPr>
          <w:trHeight w:val="425"/>
        </w:trPr>
        <w:tc>
          <w:tcPr>
            <w:tcW w:w="10472" w:type="dxa"/>
          </w:tcPr>
          <w:p w14:paraId="29E0ED87" w14:textId="77777777" w:rsidR="004551F4" w:rsidRDefault="004551F4" w:rsidP="004551F4">
            <w:pPr>
              <w:jc w:val="center"/>
              <w:rPr>
                <w:rFonts w:ascii="Work Sans" w:hAnsi="Work Sans" w:cs="Arial"/>
                <w:b/>
                <w:caps/>
              </w:rPr>
            </w:pPr>
            <w:r>
              <w:rPr>
                <w:rFonts w:ascii="Work Sans" w:hAnsi="Work Sans" w:cs="Arial"/>
                <w:b/>
                <w:caps/>
              </w:rPr>
              <w:t xml:space="preserve">Annual Complaints </w:t>
            </w:r>
            <w:r w:rsidRPr="4F41CB09">
              <w:rPr>
                <w:rFonts w:ascii="Work Sans" w:hAnsi="Work Sans" w:cs="Arial"/>
                <w:b/>
                <w:bCs/>
                <w:caps/>
              </w:rPr>
              <w:t>performance</w:t>
            </w:r>
            <w:r>
              <w:rPr>
                <w:rFonts w:ascii="Work Sans" w:hAnsi="Work Sans" w:cs="Arial"/>
                <w:b/>
                <w:caps/>
              </w:rPr>
              <w:t xml:space="preserve"> and improvement report </w:t>
            </w:r>
          </w:p>
          <w:p w14:paraId="13E12A65" w14:textId="7160F29A" w:rsidR="004551F4" w:rsidRPr="004C0427" w:rsidRDefault="004551F4" w:rsidP="004551F4">
            <w:pPr>
              <w:jc w:val="center"/>
              <w:rPr>
                <w:rFonts w:ascii="Work Sans" w:hAnsi="Work Sans" w:cs="Arial"/>
                <w:caps/>
              </w:rPr>
            </w:pPr>
          </w:p>
        </w:tc>
      </w:tr>
    </w:tbl>
    <w:p w14:paraId="13E12A67" w14:textId="77777777" w:rsidR="00EA7EAE" w:rsidRPr="004C0427" w:rsidRDefault="00EA7EAE" w:rsidP="00EA7EAE">
      <w:pPr>
        <w:rPr>
          <w:rFonts w:ascii="Work Sans" w:hAnsi="Work Sans" w:cs="Arial"/>
          <w:vanish/>
        </w:rPr>
      </w:pPr>
    </w:p>
    <w:tbl>
      <w:tblPr>
        <w:tblW w:w="10207" w:type="dxa"/>
        <w:tblInd w:w="-2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329"/>
        <w:gridCol w:w="1329"/>
        <w:gridCol w:w="1329"/>
        <w:gridCol w:w="125"/>
        <w:gridCol w:w="850"/>
        <w:gridCol w:w="4111"/>
        <w:gridCol w:w="1134"/>
      </w:tblGrid>
      <w:tr w:rsidR="00A96853" w:rsidRPr="004C0427" w14:paraId="13E12A69" w14:textId="77777777" w:rsidTr="742B7822">
        <w:trPr>
          <w:trHeight w:val="289"/>
        </w:trPr>
        <w:tc>
          <w:tcPr>
            <w:tcW w:w="10207" w:type="dxa"/>
            <w:gridSpan w:val="7"/>
            <w:shd w:val="clear" w:color="auto" w:fill="D9D9D9" w:themeFill="background1" w:themeFillShade="D9"/>
          </w:tcPr>
          <w:p w14:paraId="13E12A68" w14:textId="432BDB5F" w:rsidR="00374D9F" w:rsidRPr="004C0427" w:rsidRDefault="00184B1B" w:rsidP="00B94B6D">
            <w:pPr>
              <w:pStyle w:val="ListParagraph"/>
              <w:numPr>
                <w:ilvl w:val="0"/>
                <w:numId w:val="1"/>
              </w:numPr>
              <w:spacing w:before="60" w:after="120"/>
              <w:rPr>
                <w:rFonts w:ascii="Work Sans" w:hAnsi="Work Sans" w:cs="Arial"/>
                <w:b/>
              </w:rPr>
            </w:pPr>
            <w:r w:rsidRPr="004C0427">
              <w:rPr>
                <w:rFonts w:ascii="Work Sans" w:hAnsi="Work Sans" w:cs="Arial"/>
                <w:b/>
              </w:rPr>
              <w:t>REPORT OWNER</w:t>
            </w:r>
            <w:r w:rsidR="00C82592">
              <w:rPr>
                <w:rFonts w:ascii="Work Sans" w:hAnsi="Work Sans" w:cs="Arial"/>
                <w:b/>
              </w:rPr>
              <w:t xml:space="preserve"> &amp; DATE</w:t>
            </w:r>
          </w:p>
        </w:tc>
      </w:tr>
      <w:tr w:rsidR="00A96853" w:rsidRPr="004C0427" w14:paraId="13E12A6B" w14:textId="77777777" w:rsidTr="742B7822">
        <w:tc>
          <w:tcPr>
            <w:tcW w:w="10207" w:type="dxa"/>
            <w:gridSpan w:val="7"/>
          </w:tcPr>
          <w:p w14:paraId="629350E5" w14:textId="25543D84" w:rsidR="00011007" w:rsidRDefault="00CB5FD0" w:rsidP="00011007">
            <w:pPr>
              <w:spacing w:before="60" w:after="120"/>
              <w:jc w:val="both"/>
              <w:rPr>
                <w:rFonts w:ascii="Work Sans" w:hAnsi="Work Sans" w:cs="Arial"/>
              </w:rPr>
            </w:pPr>
            <w:r>
              <w:rPr>
                <w:rFonts w:ascii="Work Sans" w:hAnsi="Work Sans" w:cs="Arial"/>
              </w:rPr>
              <w:t>Anna Whiteland, Customer Complaints Lead</w:t>
            </w:r>
            <w:r w:rsidR="00011007" w:rsidRPr="004C0427">
              <w:rPr>
                <w:rFonts w:ascii="Work Sans" w:hAnsi="Work Sans" w:cs="Arial"/>
              </w:rPr>
              <w:t xml:space="preserve">, who can be contacted on </w:t>
            </w:r>
            <w:r w:rsidR="00011007">
              <w:rPr>
                <w:rFonts w:ascii="Work Sans" w:hAnsi="Work Sans" w:cs="Arial"/>
              </w:rPr>
              <w:t>0114 290 835</w:t>
            </w:r>
            <w:r w:rsidR="00B62B3C">
              <w:rPr>
                <w:rFonts w:ascii="Work Sans" w:hAnsi="Work Sans" w:cs="Arial"/>
              </w:rPr>
              <w:t>8</w:t>
            </w:r>
            <w:r w:rsidR="00011007">
              <w:rPr>
                <w:rFonts w:ascii="Work Sans" w:hAnsi="Work Sans" w:cs="Arial"/>
              </w:rPr>
              <w:t xml:space="preserve"> </w:t>
            </w:r>
            <w:r w:rsidR="00011007" w:rsidRPr="004C0427">
              <w:rPr>
                <w:rFonts w:ascii="Work Sans" w:hAnsi="Work Sans" w:cs="Arial"/>
              </w:rPr>
              <w:t xml:space="preserve">or </w:t>
            </w:r>
            <w:r>
              <w:rPr>
                <w:rFonts w:ascii="Work Sans" w:hAnsi="Work Sans" w:cs="Arial"/>
              </w:rPr>
              <w:t>a.whiteland</w:t>
            </w:r>
            <w:r w:rsidR="00011007">
              <w:rPr>
                <w:rFonts w:ascii="Work Sans" w:hAnsi="Work Sans" w:cs="Arial"/>
              </w:rPr>
              <w:t>@syha.co.uk</w:t>
            </w:r>
            <w:r w:rsidR="00011007" w:rsidRPr="004C0427">
              <w:rPr>
                <w:rFonts w:ascii="Work Sans" w:hAnsi="Work Sans" w:cs="Arial"/>
              </w:rPr>
              <w:t xml:space="preserve"> if members would like to discuss this item before the meeting.</w:t>
            </w:r>
            <w:r w:rsidR="00011007">
              <w:rPr>
                <w:rFonts w:ascii="Work Sans" w:hAnsi="Work Sans" w:cs="Arial"/>
              </w:rPr>
              <w:t xml:space="preserve"> </w:t>
            </w:r>
          </w:p>
          <w:p w14:paraId="13E12A6A" w14:textId="10E355CF" w:rsidR="00A07206" w:rsidRPr="004C0427" w:rsidRDefault="00011007" w:rsidP="00011007">
            <w:pPr>
              <w:spacing w:before="60" w:after="120"/>
              <w:jc w:val="both"/>
              <w:rPr>
                <w:rFonts w:ascii="Work Sans" w:hAnsi="Work Sans" w:cs="Arial"/>
              </w:rPr>
            </w:pPr>
            <w:r>
              <w:rPr>
                <w:rFonts w:ascii="Work Sans" w:hAnsi="Work Sans" w:cs="Arial"/>
              </w:rPr>
              <w:t xml:space="preserve">Date of Report: </w:t>
            </w:r>
            <w:r w:rsidR="00575CEC">
              <w:rPr>
                <w:rFonts w:ascii="Work Sans" w:hAnsi="Work Sans" w:cs="Arial"/>
              </w:rPr>
              <w:t>2</w:t>
            </w:r>
            <w:r w:rsidR="00943741">
              <w:rPr>
                <w:rFonts w:ascii="Work Sans" w:hAnsi="Work Sans" w:cs="Arial"/>
              </w:rPr>
              <w:t>7</w:t>
            </w:r>
            <w:r w:rsidR="00B97CCF">
              <w:rPr>
                <w:rFonts w:ascii="Work Sans" w:hAnsi="Work Sans" w:cs="Arial"/>
              </w:rPr>
              <w:t xml:space="preserve"> May 2026</w:t>
            </w:r>
          </w:p>
        </w:tc>
      </w:tr>
      <w:tr w:rsidR="00994412" w:rsidRPr="004C0427" w14:paraId="13E12A6D" w14:textId="77777777" w:rsidTr="742B7822">
        <w:trPr>
          <w:trHeight w:val="289"/>
        </w:trPr>
        <w:tc>
          <w:tcPr>
            <w:tcW w:w="10207" w:type="dxa"/>
            <w:gridSpan w:val="7"/>
            <w:shd w:val="clear" w:color="auto" w:fill="D9D9D9" w:themeFill="background1" w:themeFillShade="D9"/>
          </w:tcPr>
          <w:p w14:paraId="13E12A6C" w14:textId="18CB48EA" w:rsidR="00994412" w:rsidRPr="004C0427" w:rsidRDefault="00184B1B" w:rsidP="00B94B6D">
            <w:pPr>
              <w:pStyle w:val="ListParagraph"/>
              <w:numPr>
                <w:ilvl w:val="0"/>
                <w:numId w:val="1"/>
              </w:numPr>
              <w:spacing w:before="60" w:after="120"/>
              <w:jc w:val="both"/>
              <w:rPr>
                <w:rFonts w:ascii="Work Sans" w:hAnsi="Work Sans" w:cs="Arial"/>
                <w:b/>
              </w:rPr>
            </w:pPr>
            <w:r w:rsidRPr="004C0427">
              <w:rPr>
                <w:rFonts w:ascii="Work Sans" w:hAnsi="Work Sans" w:cs="Arial"/>
                <w:b/>
              </w:rPr>
              <w:t xml:space="preserve">STRATEGIC </w:t>
            </w:r>
            <w:r w:rsidR="0026127A">
              <w:rPr>
                <w:rFonts w:ascii="Work Sans" w:hAnsi="Work Sans" w:cs="Arial"/>
                <w:b/>
              </w:rPr>
              <w:t>THEME</w:t>
            </w:r>
            <w:r w:rsidRPr="004C0427">
              <w:rPr>
                <w:rFonts w:ascii="Work Sans" w:hAnsi="Work Sans" w:cs="Arial"/>
                <w:b/>
              </w:rPr>
              <w:t xml:space="preserve"> TO WHICH THE REPORT RELATES </w:t>
            </w:r>
            <w:r w:rsidR="00DE27E6" w:rsidRPr="004C0427">
              <w:rPr>
                <w:rFonts w:ascii="Work Sans" w:hAnsi="Work Sans" w:cs="Arial"/>
              </w:rPr>
              <w:t>(check at least one)</w:t>
            </w:r>
          </w:p>
        </w:tc>
      </w:tr>
      <w:tr w:rsidR="00DE27E6" w:rsidRPr="004C0427" w14:paraId="13E12A72" w14:textId="77777777" w:rsidTr="742B7822">
        <w:trPr>
          <w:trHeight w:val="194"/>
        </w:trPr>
        <w:tc>
          <w:tcPr>
            <w:tcW w:w="4112" w:type="dxa"/>
            <w:gridSpan w:val="4"/>
          </w:tcPr>
          <w:p w14:paraId="13E12A6E" w14:textId="6138E4FF" w:rsidR="00DE27E6" w:rsidRPr="004C0427" w:rsidRDefault="00496DC2" w:rsidP="008410A0">
            <w:pPr>
              <w:tabs>
                <w:tab w:val="left" w:pos="720"/>
              </w:tabs>
              <w:spacing w:before="60" w:after="120"/>
              <w:jc w:val="both"/>
              <w:rPr>
                <w:rFonts w:ascii="Work Sans" w:hAnsi="Work Sans" w:cs="Arial"/>
              </w:rPr>
            </w:pPr>
            <w:r>
              <w:rPr>
                <w:rFonts w:ascii="Work Sans" w:hAnsi="Work Sans" w:cs="Arial"/>
              </w:rPr>
              <w:t>Homes</w:t>
            </w:r>
          </w:p>
        </w:tc>
        <w:tc>
          <w:tcPr>
            <w:tcW w:w="850" w:type="dxa"/>
            <w:vAlign w:val="center"/>
          </w:tcPr>
          <w:p w14:paraId="13E12A6F" w14:textId="77777777" w:rsidR="00DE27E6" w:rsidRPr="004C0427" w:rsidRDefault="00DE27E6" w:rsidP="008410A0">
            <w:pPr>
              <w:tabs>
                <w:tab w:val="left" w:pos="720"/>
              </w:tabs>
              <w:spacing w:before="60" w:after="120"/>
              <w:jc w:val="center"/>
              <w:rPr>
                <w:rFonts w:ascii="Work Sans" w:hAnsi="Work Sans" w:cs="Arial"/>
              </w:rPr>
            </w:pPr>
          </w:p>
        </w:tc>
        <w:tc>
          <w:tcPr>
            <w:tcW w:w="4111" w:type="dxa"/>
          </w:tcPr>
          <w:p w14:paraId="13E12A70" w14:textId="17F0CBEC" w:rsidR="00DE27E6" w:rsidRPr="004C0427" w:rsidRDefault="00496DC2" w:rsidP="008410A0">
            <w:pPr>
              <w:tabs>
                <w:tab w:val="left" w:pos="720"/>
              </w:tabs>
              <w:spacing w:before="60" w:after="120"/>
              <w:jc w:val="both"/>
              <w:rPr>
                <w:rFonts w:ascii="Work Sans" w:hAnsi="Work Sans" w:cs="Arial"/>
              </w:rPr>
            </w:pPr>
            <w:r>
              <w:rPr>
                <w:rFonts w:ascii="Work Sans" w:hAnsi="Work Sans" w:cs="Arial"/>
              </w:rPr>
              <w:t>Customers</w:t>
            </w:r>
          </w:p>
        </w:tc>
        <w:tc>
          <w:tcPr>
            <w:tcW w:w="1134" w:type="dxa"/>
            <w:vAlign w:val="center"/>
          </w:tcPr>
          <w:p w14:paraId="13E12A71" w14:textId="40572B82" w:rsidR="00DE27E6" w:rsidRPr="004C0427" w:rsidRDefault="008610B4" w:rsidP="008410A0">
            <w:pPr>
              <w:tabs>
                <w:tab w:val="left" w:pos="720"/>
              </w:tabs>
              <w:spacing w:before="60" w:after="120"/>
              <w:jc w:val="center"/>
              <w:rPr>
                <w:rFonts w:ascii="Work Sans" w:hAnsi="Work Sans" w:cs="Arial"/>
              </w:rPr>
            </w:pPr>
            <w:r>
              <w:rPr>
                <w:rFonts w:ascii="Work Sans" w:hAnsi="Work Sans" w:cs="Arial"/>
              </w:rPr>
              <w:t>x</w:t>
            </w:r>
          </w:p>
        </w:tc>
      </w:tr>
      <w:tr w:rsidR="00DE27E6" w:rsidRPr="004C0427" w14:paraId="13E12A77" w14:textId="77777777" w:rsidTr="742B7822">
        <w:trPr>
          <w:trHeight w:val="194"/>
        </w:trPr>
        <w:tc>
          <w:tcPr>
            <w:tcW w:w="4112" w:type="dxa"/>
            <w:gridSpan w:val="4"/>
          </w:tcPr>
          <w:p w14:paraId="13E12A73" w14:textId="1F73DEF2" w:rsidR="00DE27E6" w:rsidRPr="004C0427" w:rsidRDefault="0026127A" w:rsidP="008410A0">
            <w:pPr>
              <w:tabs>
                <w:tab w:val="left" w:pos="720"/>
              </w:tabs>
              <w:spacing w:before="60" w:after="120"/>
              <w:jc w:val="both"/>
              <w:rPr>
                <w:rFonts w:ascii="Work Sans" w:hAnsi="Work Sans" w:cs="Arial"/>
              </w:rPr>
            </w:pPr>
            <w:r>
              <w:rPr>
                <w:rFonts w:ascii="Work Sans" w:hAnsi="Work Sans" w:cs="Arial"/>
              </w:rPr>
              <w:t>Governance</w:t>
            </w:r>
          </w:p>
        </w:tc>
        <w:tc>
          <w:tcPr>
            <w:tcW w:w="850" w:type="dxa"/>
            <w:vAlign w:val="center"/>
          </w:tcPr>
          <w:p w14:paraId="13E12A74" w14:textId="3415B896" w:rsidR="00DE27E6" w:rsidRPr="004C0427" w:rsidRDefault="008610B4" w:rsidP="008410A0">
            <w:pPr>
              <w:tabs>
                <w:tab w:val="left" w:pos="720"/>
              </w:tabs>
              <w:spacing w:before="60" w:after="120"/>
              <w:jc w:val="center"/>
              <w:rPr>
                <w:rFonts w:ascii="Work Sans" w:hAnsi="Work Sans" w:cs="Arial"/>
              </w:rPr>
            </w:pPr>
            <w:r>
              <w:rPr>
                <w:rFonts w:ascii="Work Sans" w:hAnsi="Work Sans" w:cs="Arial"/>
              </w:rPr>
              <w:t>x</w:t>
            </w:r>
          </w:p>
        </w:tc>
        <w:tc>
          <w:tcPr>
            <w:tcW w:w="4111" w:type="dxa"/>
          </w:tcPr>
          <w:p w14:paraId="13E12A75" w14:textId="66E4E15A" w:rsidR="00DE27E6" w:rsidRPr="004C0427" w:rsidRDefault="0026127A" w:rsidP="008410A0">
            <w:pPr>
              <w:tabs>
                <w:tab w:val="left" w:pos="720"/>
              </w:tabs>
              <w:spacing w:before="60" w:after="120"/>
              <w:jc w:val="both"/>
              <w:rPr>
                <w:rFonts w:ascii="Work Sans" w:hAnsi="Work Sans" w:cs="Arial"/>
              </w:rPr>
            </w:pPr>
            <w:r>
              <w:rPr>
                <w:rFonts w:ascii="Work Sans" w:hAnsi="Work Sans" w:cs="Arial"/>
              </w:rPr>
              <w:t>Performance</w:t>
            </w:r>
          </w:p>
        </w:tc>
        <w:tc>
          <w:tcPr>
            <w:tcW w:w="1134" w:type="dxa"/>
            <w:vAlign w:val="center"/>
          </w:tcPr>
          <w:p w14:paraId="13E12A76" w14:textId="6B2CEBF9" w:rsidR="00DE27E6" w:rsidRPr="004C0427" w:rsidRDefault="008610B4" w:rsidP="008410A0">
            <w:pPr>
              <w:tabs>
                <w:tab w:val="left" w:pos="720"/>
              </w:tabs>
              <w:spacing w:before="60" w:after="120"/>
              <w:jc w:val="center"/>
              <w:rPr>
                <w:rFonts w:ascii="Work Sans" w:hAnsi="Work Sans" w:cs="Arial"/>
              </w:rPr>
            </w:pPr>
            <w:r>
              <w:rPr>
                <w:rFonts w:ascii="Work Sans" w:hAnsi="Work Sans" w:cs="Arial"/>
              </w:rPr>
              <w:t>x</w:t>
            </w:r>
          </w:p>
        </w:tc>
      </w:tr>
      <w:tr w:rsidR="00A07206" w:rsidRPr="004C0427" w14:paraId="13E12A79" w14:textId="77777777" w:rsidTr="742B7822">
        <w:trPr>
          <w:trHeight w:val="289"/>
        </w:trPr>
        <w:tc>
          <w:tcPr>
            <w:tcW w:w="10207" w:type="dxa"/>
            <w:gridSpan w:val="7"/>
          </w:tcPr>
          <w:p w14:paraId="13E12A78" w14:textId="37636E1B" w:rsidR="00A07206" w:rsidRPr="004D1B5A" w:rsidRDefault="00A07206" w:rsidP="008410A0">
            <w:pPr>
              <w:spacing w:before="60" w:after="120"/>
              <w:jc w:val="both"/>
              <w:rPr>
                <w:rFonts w:ascii="Work Sans" w:hAnsi="Work Sans" w:cs="Arial"/>
                <w:bCs/>
              </w:rPr>
            </w:pPr>
            <w:r w:rsidRPr="004C0427">
              <w:rPr>
                <w:rFonts w:ascii="Work Sans" w:hAnsi="Work Sans" w:cs="Arial"/>
              </w:rPr>
              <w:t xml:space="preserve">Report status: </w:t>
            </w:r>
            <w:r w:rsidRPr="004C0427">
              <w:rPr>
                <w:rFonts w:ascii="Work Sans" w:hAnsi="Work Sans" w:cs="Arial"/>
                <w:b/>
              </w:rPr>
              <w:t>For</w:t>
            </w:r>
            <w:r>
              <w:rPr>
                <w:rFonts w:ascii="Work Sans" w:hAnsi="Work Sans" w:cs="Arial"/>
                <w:b/>
              </w:rPr>
              <w:t xml:space="preserve"> </w:t>
            </w:r>
            <w:r w:rsidR="007C739D">
              <w:rPr>
                <w:rFonts w:ascii="Work Sans" w:hAnsi="Work Sans" w:cs="Arial"/>
                <w:b/>
              </w:rPr>
              <w:t>Approval</w:t>
            </w:r>
          </w:p>
        </w:tc>
      </w:tr>
      <w:tr w:rsidR="00994412" w:rsidRPr="004C0427" w14:paraId="13E12A7B" w14:textId="77777777" w:rsidTr="742B7822">
        <w:trPr>
          <w:trHeight w:val="289"/>
        </w:trPr>
        <w:tc>
          <w:tcPr>
            <w:tcW w:w="10207" w:type="dxa"/>
            <w:gridSpan w:val="7"/>
            <w:shd w:val="clear" w:color="auto" w:fill="D9D9D9" w:themeFill="background1" w:themeFillShade="D9"/>
          </w:tcPr>
          <w:p w14:paraId="13E12A7A" w14:textId="77777777" w:rsidR="00994412" w:rsidRPr="004C0427" w:rsidRDefault="00184B1B" w:rsidP="00B94B6D">
            <w:pPr>
              <w:pStyle w:val="ListParagraph"/>
              <w:numPr>
                <w:ilvl w:val="0"/>
                <w:numId w:val="1"/>
              </w:numPr>
              <w:spacing w:before="60" w:after="120"/>
              <w:jc w:val="both"/>
              <w:rPr>
                <w:rFonts w:ascii="Work Sans" w:hAnsi="Work Sans" w:cs="Arial"/>
                <w:b/>
              </w:rPr>
            </w:pPr>
            <w:bookmarkStart w:id="0" w:name="_Hlk171881592"/>
            <w:r w:rsidRPr="004C0427">
              <w:rPr>
                <w:rFonts w:ascii="Work Sans" w:hAnsi="Work Sans" w:cs="Arial"/>
                <w:b/>
              </w:rPr>
              <w:t>RECOMMENDATIONS</w:t>
            </w:r>
          </w:p>
        </w:tc>
      </w:tr>
      <w:tr w:rsidR="00994412" w:rsidRPr="004C0427" w14:paraId="13E12A7D" w14:textId="77777777" w:rsidTr="742B7822">
        <w:trPr>
          <w:trHeight w:val="289"/>
        </w:trPr>
        <w:tc>
          <w:tcPr>
            <w:tcW w:w="10207" w:type="dxa"/>
            <w:gridSpan w:val="7"/>
          </w:tcPr>
          <w:p w14:paraId="1DA334F8" w14:textId="629AA92F" w:rsidR="00704F69" w:rsidRPr="00704F69" w:rsidRDefault="008610B4" w:rsidP="00B94B6D">
            <w:pPr>
              <w:pStyle w:val="ListParagraph"/>
              <w:numPr>
                <w:ilvl w:val="1"/>
                <w:numId w:val="1"/>
              </w:numPr>
              <w:spacing w:before="60" w:after="120"/>
              <w:ind w:left="794" w:hanging="794"/>
              <w:contextualSpacing w:val="0"/>
              <w:jc w:val="both"/>
              <w:rPr>
                <w:rFonts w:ascii="Work Sans" w:hAnsi="Work Sans" w:cs="Arial"/>
                <w:b/>
              </w:rPr>
            </w:pPr>
            <w:r>
              <w:rPr>
                <w:rFonts w:ascii="Work Sans" w:hAnsi="Work Sans" w:cs="Arial"/>
              </w:rPr>
              <w:t xml:space="preserve">The Board is asked to </w:t>
            </w:r>
            <w:r w:rsidR="00384CE8">
              <w:rPr>
                <w:rFonts w:ascii="Work Sans" w:hAnsi="Work Sans" w:cs="Arial"/>
                <w:b/>
                <w:bCs/>
              </w:rPr>
              <w:t>APPROVE</w:t>
            </w:r>
            <w:r w:rsidRPr="00DA27ED">
              <w:rPr>
                <w:rFonts w:ascii="Work Sans" w:hAnsi="Work Sans" w:cs="Arial"/>
                <w:b/>
                <w:bCs/>
              </w:rPr>
              <w:t xml:space="preserve"> </w:t>
            </w:r>
            <w:r w:rsidRPr="001D5A48">
              <w:rPr>
                <w:rFonts w:ascii="Work Sans" w:hAnsi="Work Sans" w:cs="Arial"/>
              </w:rPr>
              <w:t>t</w:t>
            </w:r>
            <w:r w:rsidR="00413A60" w:rsidRPr="00413A60">
              <w:rPr>
                <w:rFonts w:ascii="Work Sans" w:hAnsi="Work Sans" w:cs="Arial"/>
              </w:rPr>
              <w:t xml:space="preserve">his report, which sets out the annual details of our compliance with the Housing Ombudsman Complaint Handling Code, including the </w:t>
            </w:r>
            <w:r w:rsidR="00413A60">
              <w:rPr>
                <w:rFonts w:ascii="Work Sans" w:hAnsi="Work Sans" w:cs="Arial"/>
              </w:rPr>
              <w:t xml:space="preserve">following </w:t>
            </w:r>
            <w:r w:rsidR="00413A60" w:rsidRPr="00413A60">
              <w:rPr>
                <w:rFonts w:ascii="Work Sans" w:hAnsi="Work Sans" w:cs="Arial"/>
              </w:rPr>
              <w:t>compliance documentation</w:t>
            </w:r>
            <w:r w:rsidR="00725685">
              <w:rPr>
                <w:rFonts w:ascii="Work Sans" w:hAnsi="Work Sans" w:cs="Arial"/>
              </w:rPr>
              <w:t>:</w:t>
            </w:r>
          </w:p>
          <w:p w14:paraId="0A0A770C" w14:textId="77777777" w:rsidR="00725685" w:rsidRPr="00725685" w:rsidRDefault="00DE335D" w:rsidP="00A73755">
            <w:pPr>
              <w:pStyle w:val="ListParagraph"/>
              <w:numPr>
                <w:ilvl w:val="2"/>
                <w:numId w:val="26"/>
              </w:numPr>
              <w:spacing w:before="60" w:after="120"/>
              <w:contextualSpacing w:val="0"/>
              <w:jc w:val="both"/>
              <w:rPr>
                <w:rFonts w:ascii="Work Sans" w:hAnsi="Work Sans" w:cs="Arial"/>
                <w:b/>
              </w:rPr>
            </w:pPr>
            <w:r w:rsidRPr="00A73755">
              <w:rPr>
                <w:rFonts w:ascii="Work Sans" w:hAnsi="Work Sans" w:cs="Arial"/>
                <w:b/>
                <w:bCs/>
              </w:rPr>
              <w:t xml:space="preserve">Annual Complaints Performance and Improvement report </w:t>
            </w:r>
            <w:r w:rsidR="004D54EB" w:rsidRPr="00A73755">
              <w:rPr>
                <w:rFonts w:ascii="Work Sans" w:hAnsi="Work Sans" w:cs="Arial"/>
                <w:b/>
                <w:bCs/>
              </w:rPr>
              <w:t>2025/26</w:t>
            </w:r>
            <w:r w:rsidR="00725685">
              <w:rPr>
                <w:rFonts w:ascii="Work Sans" w:hAnsi="Work Sans" w:cs="Arial"/>
              </w:rPr>
              <w:t xml:space="preserve"> – which is the main body of this report. </w:t>
            </w:r>
          </w:p>
          <w:p w14:paraId="09525430" w14:textId="77777777" w:rsidR="00725685" w:rsidRPr="00725685" w:rsidRDefault="00725685" w:rsidP="00A73755">
            <w:pPr>
              <w:pStyle w:val="ListParagraph"/>
              <w:numPr>
                <w:ilvl w:val="2"/>
                <w:numId w:val="26"/>
              </w:numPr>
              <w:spacing w:before="60" w:after="120"/>
              <w:contextualSpacing w:val="0"/>
              <w:jc w:val="both"/>
              <w:rPr>
                <w:rFonts w:ascii="Work Sans" w:hAnsi="Work Sans" w:cs="Arial"/>
                <w:b/>
              </w:rPr>
            </w:pPr>
            <w:r>
              <w:rPr>
                <w:rFonts w:ascii="Work Sans" w:hAnsi="Work Sans" w:cs="Arial"/>
              </w:rPr>
              <w:t xml:space="preserve">A </w:t>
            </w:r>
            <w:r w:rsidRPr="00A73755">
              <w:rPr>
                <w:rFonts w:ascii="Work Sans" w:hAnsi="Work Sans" w:cs="Arial"/>
                <w:b/>
                <w:bCs/>
              </w:rPr>
              <w:t>customer friendly version of the Annual Complaints Performance and Improvement report 2025/26</w:t>
            </w:r>
            <w:r>
              <w:rPr>
                <w:rFonts w:ascii="Work Sans" w:hAnsi="Work Sans" w:cs="Arial"/>
              </w:rPr>
              <w:t xml:space="preserve"> – which is available in Appendix 1. </w:t>
            </w:r>
          </w:p>
          <w:p w14:paraId="2A83464D" w14:textId="4DEAFD05" w:rsidR="00355D98" w:rsidRPr="00355D98" w:rsidRDefault="00A73755" w:rsidP="00A73755">
            <w:pPr>
              <w:pStyle w:val="ListParagraph"/>
              <w:numPr>
                <w:ilvl w:val="2"/>
                <w:numId w:val="26"/>
              </w:numPr>
              <w:spacing w:before="60" w:after="120"/>
              <w:contextualSpacing w:val="0"/>
              <w:jc w:val="both"/>
              <w:rPr>
                <w:rFonts w:ascii="Work Sans" w:hAnsi="Work Sans" w:cs="Arial"/>
                <w:b/>
              </w:rPr>
            </w:pPr>
            <w:r>
              <w:rPr>
                <w:rFonts w:ascii="Work Sans" w:hAnsi="Work Sans" w:cs="Arial"/>
              </w:rPr>
              <w:t xml:space="preserve">The </w:t>
            </w:r>
            <w:r w:rsidRPr="00A73755">
              <w:rPr>
                <w:rFonts w:ascii="Work Sans" w:hAnsi="Work Sans" w:cs="Arial"/>
                <w:b/>
                <w:bCs/>
              </w:rPr>
              <w:t>Annual Self-Assessment of compliance</w:t>
            </w:r>
            <w:r>
              <w:rPr>
                <w:rFonts w:ascii="Work Sans" w:hAnsi="Work Sans" w:cs="Arial"/>
              </w:rPr>
              <w:t xml:space="preserve"> with the Complaint Handling Code – which is available in </w:t>
            </w:r>
            <w:r w:rsidR="00CA72A7">
              <w:rPr>
                <w:rFonts w:ascii="Work Sans" w:hAnsi="Work Sans" w:cs="Arial"/>
              </w:rPr>
              <w:t>Appendix</w:t>
            </w:r>
            <w:r>
              <w:rPr>
                <w:rFonts w:ascii="Work Sans" w:hAnsi="Work Sans" w:cs="Arial"/>
              </w:rPr>
              <w:t xml:space="preserve"> 2. </w:t>
            </w:r>
            <w:r w:rsidR="00355D98">
              <w:rPr>
                <w:rFonts w:ascii="Work Sans" w:hAnsi="Work Sans" w:cs="Arial"/>
              </w:rPr>
              <w:t xml:space="preserve"> </w:t>
            </w:r>
          </w:p>
          <w:p w14:paraId="13E12A7C" w14:textId="0E11A4D0" w:rsidR="00E47772" w:rsidRPr="00CA72A7" w:rsidRDefault="00355D98" w:rsidP="00CA72A7">
            <w:pPr>
              <w:pStyle w:val="ListParagraph"/>
              <w:numPr>
                <w:ilvl w:val="1"/>
                <w:numId w:val="1"/>
              </w:numPr>
              <w:spacing w:before="60" w:after="120"/>
              <w:ind w:left="794" w:hanging="794"/>
              <w:contextualSpacing w:val="0"/>
              <w:jc w:val="both"/>
              <w:rPr>
                <w:rFonts w:ascii="Work Sans" w:hAnsi="Work Sans" w:cs="Arial"/>
                <w:b/>
              </w:rPr>
            </w:pPr>
            <w:r>
              <w:rPr>
                <w:rFonts w:ascii="Work Sans" w:hAnsi="Work Sans" w:cs="Arial"/>
              </w:rPr>
              <w:t>The Board is asked to</w:t>
            </w:r>
            <w:r w:rsidR="002E5CF6">
              <w:rPr>
                <w:rFonts w:ascii="Work Sans" w:hAnsi="Work Sans" w:cs="Arial"/>
              </w:rPr>
              <w:t xml:space="preserve"> </w:t>
            </w:r>
            <w:r w:rsidR="002E5CF6" w:rsidRPr="00A16DDF">
              <w:rPr>
                <w:rFonts w:ascii="Work Sans" w:hAnsi="Work Sans" w:cs="Arial"/>
                <w:b/>
                <w:bCs/>
              </w:rPr>
              <w:t>provide a response</w:t>
            </w:r>
            <w:r w:rsidR="002E5CF6">
              <w:rPr>
                <w:rFonts w:ascii="Work Sans" w:hAnsi="Work Sans" w:cs="Arial"/>
              </w:rPr>
              <w:t xml:space="preserve"> </w:t>
            </w:r>
            <w:r w:rsidR="00A16DDF">
              <w:rPr>
                <w:rFonts w:ascii="Work Sans" w:hAnsi="Work Sans" w:cs="Arial"/>
              </w:rPr>
              <w:t xml:space="preserve">to </w:t>
            </w:r>
            <w:r w:rsidR="00A73755">
              <w:rPr>
                <w:rFonts w:ascii="Work Sans" w:hAnsi="Work Sans" w:cs="Arial"/>
              </w:rPr>
              <w:t xml:space="preserve">these documents </w:t>
            </w:r>
            <w:r w:rsidR="00CA72A7">
              <w:rPr>
                <w:rFonts w:ascii="Work Sans" w:hAnsi="Work Sans" w:cs="Arial"/>
              </w:rPr>
              <w:t xml:space="preserve">that will </w:t>
            </w:r>
            <w:r w:rsidR="00812111">
              <w:rPr>
                <w:rFonts w:ascii="Work Sans" w:hAnsi="Work Sans" w:cs="Arial"/>
              </w:rPr>
              <w:t>be published</w:t>
            </w:r>
            <w:r w:rsidR="00924B1C">
              <w:rPr>
                <w:rFonts w:ascii="Work Sans" w:hAnsi="Work Sans" w:cs="Arial"/>
              </w:rPr>
              <w:t xml:space="preserve"> on our website</w:t>
            </w:r>
            <w:r w:rsidR="00384CE8">
              <w:rPr>
                <w:rFonts w:ascii="Work Sans" w:hAnsi="Work Sans" w:cs="Arial"/>
              </w:rPr>
              <w:t xml:space="preserve">, as this is required as part of our compliance with the Housing Ombudsman Complaint Handling Code. </w:t>
            </w:r>
            <w:r w:rsidR="00924B1C">
              <w:rPr>
                <w:rFonts w:ascii="Work Sans" w:hAnsi="Work Sans" w:cs="Arial"/>
              </w:rPr>
              <w:t xml:space="preserve"> </w:t>
            </w:r>
          </w:p>
        </w:tc>
      </w:tr>
      <w:bookmarkEnd w:id="0"/>
      <w:tr w:rsidR="00966D6F" w:rsidRPr="004C0427" w14:paraId="496156F1" w14:textId="77777777" w:rsidTr="742B7822">
        <w:trPr>
          <w:trHeight w:val="289"/>
        </w:trPr>
        <w:tc>
          <w:tcPr>
            <w:tcW w:w="10207" w:type="dxa"/>
            <w:gridSpan w:val="7"/>
            <w:shd w:val="clear" w:color="auto" w:fill="D9D9D9" w:themeFill="background1" w:themeFillShade="D9"/>
          </w:tcPr>
          <w:p w14:paraId="0984DEBB" w14:textId="053A952B" w:rsidR="00966D6F" w:rsidRPr="004C0427" w:rsidRDefault="00966D6F" w:rsidP="00B94B6D">
            <w:pPr>
              <w:pStyle w:val="ListParagraph"/>
              <w:numPr>
                <w:ilvl w:val="0"/>
                <w:numId w:val="1"/>
              </w:numPr>
              <w:spacing w:before="60" w:after="120"/>
              <w:jc w:val="both"/>
              <w:rPr>
                <w:rFonts w:ascii="Work Sans" w:hAnsi="Work Sans" w:cs="Arial"/>
                <w:b/>
              </w:rPr>
            </w:pPr>
            <w:r>
              <w:rPr>
                <w:rFonts w:ascii="Work Sans" w:hAnsi="Work Sans" w:cs="Arial"/>
                <w:b/>
              </w:rPr>
              <w:t>EXECUTIVE SUMMARY</w:t>
            </w:r>
          </w:p>
        </w:tc>
      </w:tr>
      <w:tr w:rsidR="00966D6F" w:rsidRPr="004C0427" w14:paraId="65FB3DAB" w14:textId="77777777" w:rsidTr="742B7822">
        <w:trPr>
          <w:trHeight w:val="289"/>
        </w:trPr>
        <w:tc>
          <w:tcPr>
            <w:tcW w:w="10207" w:type="dxa"/>
            <w:gridSpan w:val="7"/>
          </w:tcPr>
          <w:p w14:paraId="7E1F22DA" w14:textId="77777777" w:rsidR="00315688" w:rsidRDefault="001D48F1" w:rsidP="742B7822">
            <w:pPr>
              <w:pStyle w:val="ListParagraph"/>
              <w:numPr>
                <w:ilvl w:val="1"/>
                <w:numId w:val="1"/>
              </w:numPr>
              <w:spacing w:before="60" w:after="120"/>
              <w:ind w:left="794" w:hanging="794"/>
              <w:jc w:val="both"/>
              <w:rPr>
                <w:rFonts w:ascii="Work Sans" w:hAnsi="Work Sans"/>
              </w:rPr>
            </w:pPr>
            <w:r w:rsidRPr="001C0243">
              <w:rPr>
                <w:rFonts w:ascii="Work Sans" w:hAnsi="Work Sans"/>
              </w:rPr>
              <w:t xml:space="preserve">This is the </w:t>
            </w:r>
            <w:r w:rsidR="007E0AB9" w:rsidRPr="001C0243">
              <w:rPr>
                <w:rFonts w:ascii="Work Sans" w:hAnsi="Work Sans"/>
              </w:rPr>
              <w:t>fourth</w:t>
            </w:r>
            <w:r w:rsidRPr="001C0243">
              <w:rPr>
                <w:rFonts w:ascii="Work Sans" w:hAnsi="Work Sans"/>
              </w:rPr>
              <w:t xml:space="preserve"> full financial year the current Complaints Policy and process </w:t>
            </w:r>
            <w:proofErr w:type="gramStart"/>
            <w:r w:rsidRPr="001C0243">
              <w:rPr>
                <w:rFonts w:ascii="Work Sans" w:hAnsi="Work Sans"/>
              </w:rPr>
              <w:t>has</w:t>
            </w:r>
            <w:proofErr w:type="gramEnd"/>
            <w:r w:rsidRPr="001C0243">
              <w:rPr>
                <w:rFonts w:ascii="Work Sans" w:hAnsi="Work Sans"/>
              </w:rPr>
              <w:t xml:space="preserve"> been in place. </w:t>
            </w:r>
            <w:r w:rsidR="40F6B8A4" w:rsidRPr="001C0243">
              <w:rPr>
                <w:rFonts w:ascii="Work Sans" w:hAnsi="Work Sans"/>
              </w:rPr>
              <w:t>This report covers complaints performance for SYHA and</w:t>
            </w:r>
            <w:r w:rsidR="00233092" w:rsidRPr="001C0243">
              <w:rPr>
                <w:rFonts w:ascii="Work Sans" w:hAnsi="Work Sans"/>
              </w:rPr>
              <w:t xml:space="preserve"> its subsidiaries,</w:t>
            </w:r>
            <w:r w:rsidR="40F6B8A4" w:rsidRPr="001C0243">
              <w:rPr>
                <w:rFonts w:ascii="Work Sans" w:hAnsi="Work Sans"/>
              </w:rPr>
              <w:t xml:space="preserve"> Alliance Housing</w:t>
            </w:r>
            <w:r w:rsidR="00233092" w:rsidRPr="001C0243">
              <w:rPr>
                <w:rFonts w:ascii="Work Sans" w:hAnsi="Work Sans"/>
              </w:rPr>
              <w:t>,</w:t>
            </w:r>
            <w:r w:rsidR="40F6B8A4" w:rsidRPr="001C0243">
              <w:rPr>
                <w:rFonts w:ascii="Work Sans" w:hAnsi="Work Sans"/>
              </w:rPr>
              <w:t xml:space="preserve"> a</w:t>
            </w:r>
            <w:r w:rsidR="206D7EF4" w:rsidRPr="001C0243">
              <w:rPr>
                <w:rFonts w:ascii="Work Sans" w:hAnsi="Work Sans"/>
              </w:rPr>
              <w:t xml:space="preserve">nd </w:t>
            </w:r>
            <w:r w:rsidRPr="001C0243">
              <w:rPr>
                <w:rFonts w:ascii="Work Sans" w:hAnsi="Work Sans"/>
              </w:rPr>
              <w:t xml:space="preserve">is presented in line with the requirements of the Housing Ombudsman Complaint Handling Code 2024 which was in place from </w:t>
            </w:r>
            <w:r w:rsidR="00192113" w:rsidRPr="001C0243">
              <w:rPr>
                <w:rFonts w:ascii="Work Sans" w:hAnsi="Work Sans"/>
              </w:rPr>
              <w:t>1</w:t>
            </w:r>
            <w:r w:rsidRPr="001C0243">
              <w:rPr>
                <w:rFonts w:ascii="Work Sans" w:hAnsi="Work Sans"/>
              </w:rPr>
              <w:t xml:space="preserve"> April 2024. </w:t>
            </w:r>
          </w:p>
          <w:p w14:paraId="68C03460" w14:textId="33F2A134" w:rsidR="001D48F1" w:rsidRDefault="00315688" w:rsidP="742B7822">
            <w:pPr>
              <w:pStyle w:val="ListParagraph"/>
              <w:numPr>
                <w:ilvl w:val="1"/>
                <w:numId w:val="1"/>
              </w:numPr>
              <w:spacing w:before="60" w:after="120"/>
              <w:ind w:left="794" w:hanging="794"/>
              <w:jc w:val="both"/>
              <w:rPr>
                <w:rFonts w:ascii="Work Sans" w:hAnsi="Work Sans"/>
              </w:rPr>
            </w:pPr>
            <w:r w:rsidRPr="00315688">
              <w:rPr>
                <w:rFonts w:ascii="Work Sans" w:hAnsi="Work Sans"/>
              </w:rPr>
              <w:t xml:space="preserve">The Main Report, Self-Assessment, and Customer-Friendly version all demonstrate full compliance. In line with Code requirements, these documents are subject to Governing Body approval, will be published on the website, and include a formal Board response. The customer-friendly version </w:t>
            </w:r>
            <w:r w:rsidRPr="00315688">
              <w:rPr>
                <w:rFonts w:ascii="Work Sans" w:hAnsi="Work Sans"/>
              </w:rPr>
              <w:lastRenderedPageBreak/>
              <w:t>has been produced for the second year and has been reviewed with customers to improve accessibility and transparency.</w:t>
            </w:r>
          </w:p>
          <w:p w14:paraId="2025005D" w14:textId="0F969B95" w:rsidR="00433516" w:rsidRDefault="00433516" w:rsidP="742B7822">
            <w:pPr>
              <w:pStyle w:val="ListParagraph"/>
              <w:numPr>
                <w:ilvl w:val="1"/>
                <w:numId w:val="1"/>
              </w:numPr>
              <w:spacing w:before="60" w:after="120"/>
              <w:ind w:left="794" w:hanging="794"/>
              <w:jc w:val="both"/>
              <w:rPr>
                <w:rFonts w:ascii="Work Sans" w:hAnsi="Work Sans"/>
              </w:rPr>
            </w:pPr>
            <w:r w:rsidRPr="00433516">
              <w:rPr>
                <w:rFonts w:ascii="Work Sans" w:hAnsi="Work Sans"/>
              </w:rPr>
              <w:t>A total of 316 stage 1 complaints were received, representing a 4% reduction from the previous year, with demand peaking during the winter months. Stage 2 escalations increased to 41, a 41% rise year-on-year, with peaks in February and March. 85% of stage 2 complaints related to Property Services. Overall complaint volumes remain broadly in line with the sector, with 63.6 complaints per 1,000 homes at stage 1, pending updated benchmarking data for 2025/26.</w:t>
            </w:r>
          </w:p>
          <w:p w14:paraId="25F8DD5A" w14:textId="49D4537B" w:rsidR="00433516" w:rsidRDefault="001257A0" w:rsidP="742B7822">
            <w:pPr>
              <w:pStyle w:val="ListParagraph"/>
              <w:numPr>
                <w:ilvl w:val="1"/>
                <w:numId w:val="1"/>
              </w:numPr>
              <w:spacing w:before="60" w:after="120"/>
              <w:ind w:left="794" w:hanging="794"/>
              <w:jc w:val="both"/>
              <w:rPr>
                <w:rFonts w:ascii="Work Sans" w:hAnsi="Work Sans"/>
              </w:rPr>
            </w:pPr>
            <w:r w:rsidRPr="001257A0">
              <w:rPr>
                <w:rFonts w:ascii="Work Sans" w:hAnsi="Work Sans"/>
              </w:rPr>
              <w:t xml:space="preserve">Property Services continues to account for </w:t>
            </w:r>
            <w:proofErr w:type="gramStart"/>
            <w:r w:rsidRPr="001257A0">
              <w:rPr>
                <w:rFonts w:ascii="Work Sans" w:hAnsi="Work Sans"/>
              </w:rPr>
              <w:t>the majority of</w:t>
            </w:r>
            <w:proofErr w:type="gramEnd"/>
            <w:r w:rsidRPr="001257A0">
              <w:rPr>
                <w:rFonts w:ascii="Work Sans" w:hAnsi="Work Sans"/>
              </w:rPr>
              <w:t xml:space="preserve"> complaints (84%, up from 78%), reflecting the volume and complexity of repairs, maintenance, and contractor activity, with a similar pattern seen at stage 2. The primary root causes remain responsiveness, customer care and service, and quality of housing, consistent with last year, although issues relating to responsiveness have increased.</w:t>
            </w:r>
          </w:p>
          <w:p w14:paraId="40FDF8AA" w14:textId="4A80BB24" w:rsidR="001257A0" w:rsidRDefault="00A0579C" w:rsidP="742B7822">
            <w:pPr>
              <w:pStyle w:val="ListParagraph"/>
              <w:numPr>
                <w:ilvl w:val="1"/>
                <w:numId w:val="1"/>
              </w:numPr>
              <w:spacing w:before="60" w:after="120"/>
              <w:ind w:left="794" w:hanging="794"/>
              <w:jc w:val="both"/>
              <w:rPr>
                <w:rFonts w:ascii="Work Sans" w:hAnsi="Work Sans"/>
              </w:rPr>
            </w:pPr>
            <w:r w:rsidRPr="00A0579C">
              <w:rPr>
                <w:rFonts w:ascii="Work Sans" w:hAnsi="Work Sans"/>
              </w:rPr>
              <w:t>Performance against timescales has improved across both stages, including a 23% improvement in stage 1 responses issued within 10 working days. Customer satisfaction presents a mixed but positive position: Tenant Satisfaction Measure TP09 has improved significantly to 53% (up 13% year-on-year), while transactional satisfaction remains above target at 76%, despite a slight decrease.</w:t>
            </w:r>
          </w:p>
          <w:p w14:paraId="704F820C" w14:textId="32A20D1B" w:rsidR="00A0579C" w:rsidRDefault="0045299A" w:rsidP="742B7822">
            <w:pPr>
              <w:pStyle w:val="ListParagraph"/>
              <w:numPr>
                <w:ilvl w:val="1"/>
                <w:numId w:val="1"/>
              </w:numPr>
              <w:spacing w:before="60" w:after="120"/>
              <w:ind w:left="794" w:hanging="794"/>
              <w:jc w:val="both"/>
              <w:rPr>
                <w:rFonts w:ascii="Work Sans" w:hAnsi="Work Sans"/>
              </w:rPr>
            </w:pPr>
            <w:r w:rsidRPr="0045299A">
              <w:rPr>
                <w:rFonts w:ascii="Work Sans" w:hAnsi="Work Sans"/>
              </w:rPr>
              <w:t xml:space="preserve">A range of improvements has been implemented during the year to strengthen complaint handling, including enhancements to IT systems and the integration of Property Services complaints handling within the Customer Experience </w:t>
            </w:r>
            <w:r>
              <w:rPr>
                <w:rFonts w:ascii="Work Sans" w:hAnsi="Work Sans"/>
              </w:rPr>
              <w:t>Department</w:t>
            </w:r>
            <w:r w:rsidRPr="0045299A">
              <w:rPr>
                <w:rFonts w:ascii="Work Sans" w:hAnsi="Work Sans"/>
              </w:rPr>
              <w:t>. Service learning continues to be embedded, with examples including targeted engagement with extra care schemes and policy changes such as updates to CCTV, Complaints, and Compensation policies.</w:t>
            </w:r>
          </w:p>
          <w:p w14:paraId="41903CA7" w14:textId="19D4E6E5" w:rsidR="0045299A" w:rsidRDefault="00EF20A4" w:rsidP="742B7822">
            <w:pPr>
              <w:pStyle w:val="ListParagraph"/>
              <w:numPr>
                <w:ilvl w:val="1"/>
                <w:numId w:val="1"/>
              </w:numPr>
              <w:spacing w:before="60" w:after="120"/>
              <w:ind w:left="794" w:hanging="794"/>
              <w:jc w:val="both"/>
              <w:rPr>
                <w:rFonts w:ascii="Work Sans" w:hAnsi="Work Sans"/>
              </w:rPr>
            </w:pPr>
            <w:r w:rsidRPr="00EF20A4">
              <w:rPr>
                <w:rFonts w:ascii="Work Sans" w:hAnsi="Work Sans"/>
              </w:rPr>
              <w:t>Analysis of diversity data shows overall alignment between complainants and the wider tenant population. However, Black African and Black Caribbean customers are currently overrepresented in complaints, and this will be explored further during 2026/27.</w:t>
            </w:r>
          </w:p>
          <w:p w14:paraId="0969F206" w14:textId="28A7C4F8" w:rsidR="00EF20A4" w:rsidRPr="001C0243" w:rsidRDefault="00A95415" w:rsidP="742B7822">
            <w:pPr>
              <w:pStyle w:val="ListParagraph"/>
              <w:numPr>
                <w:ilvl w:val="1"/>
                <w:numId w:val="1"/>
              </w:numPr>
              <w:spacing w:before="60" w:after="120"/>
              <w:ind w:left="794" w:hanging="794"/>
              <w:jc w:val="both"/>
              <w:rPr>
                <w:rFonts w:ascii="Work Sans" w:hAnsi="Work Sans"/>
              </w:rPr>
            </w:pPr>
            <w:r w:rsidRPr="00A95415">
              <w:rPr>
                <w:rFonts w:ascii="Work Sans" w:hAnsi="Work Sans"/>
              </w:rPr>
              <w:t>There were no Housing Ombudsman determinations received during the year. One investigation was initiated, with four cases awaiting outcomes. Resolution times are expected to improve in line with the Ombudsman’s new Business Plan targets.</w:t>
            </w:r>
          </w:p>
          <w:p w14:paraId="36513F6E" w14:textId="627B73C9" w:rsidR="00966D6F" w:rsidRPr="00353913" w:rsidRDefault="001D48F1" w:rsidP="00353913">
            <w:pPr>
              <w:pStyle w:val="ListParagraph"/>
              <w:numPr>
                <w:ilvl w:val="1"/>
                <w:numId w:val="1"/>
              </w:numPr>
              <w:spacing w:before="60" w:after="120"/>
              <w:ind w:left="794" w:hanging="794"/>
              <w:contextualSpacing w:val="0"/>
              <w:jc w:val="both"/>
              <w:rPr>
                <w:rFonts w:ascii="Work Sans" w:hAnsi="Work Sans"/>
              </w:rPr>
            </w:pPr>
            <w:r w:rsidRPr="001C0243">
              <w:rPr>
                <w:rFonts w:ascii="Work Sans" w:hAnsi="Work Sans"/>
              </w:rPr>
              <w:t>Complaints in social housing continue to have a high profile, with prominence in the media through campaigns by the Housing Ombudsman Service, HOS, to raise awareness, and the implementation of Awaab</w:t>
            </w:r>
            <w:r w:rsidR="0098675A" w:rsidRPr="001C0243">
              <w:rPr>
                <w:rFonts w:ascii="Work Sans" w:hAnsi="Work Sans"/>
              </w:rPr>
              <w:t>’</w:t>
            </w:r>
            <w:r w:rsidRPr="001C0243">
              <w:rPr>
                <w:rFonts w:ascii="Work Sans" w:hAnsi="Work Sans"/>
              </w:rPr>
              <w:t>s Law.</w:t>
            </w:r>
          </w:p>
        </w:tc>
      </w:tr>
      <w:tr w:rsidR="00994412" w:rsidRPr="004C0427" w14:paraId="13E12A7F" w14:textId="77777777" w:rsidTr="742B7822">
        <w:trPr>
          <w:trHeight w:val="289"/>
        </w:trPr>
        <w:tc>
          <w:tcPr>
            <w:tcW w:w="10207" w:type="dxa"/>
            <w:gridSpan w:val="7"/>
            <w:shd w:val="clear" w:color="auto" w:fill="D9D9D9" w:themeFill="background1" w:themeFillShade="D9"/>
          </w:tcPr>
          <w:p w14:paraId="13E12A7E" w14:textId="179E5DD6" w:rsidR="00994412" w:rsidRPr="004C0427" w:rsidRDefault="00B431D1" w:rsidP="00B94B6D">
            <w:pPr>
              <w:pStyle w:val="ListParagraph"/>
              <w:numPr>
                <w:ilvl w:val="0"/>
                <w:numId w:val="1"/>
              </w:numPr>
              <w:spacing w:before="60" w:after="120"/>
              <w:jc w:val="both"/>
              <w:rPr>
                <w:rFonts w:ascii="Work Sans" w:hAnsi="Work Sans" w:cs="Arial"/>
                <w:b/>
                <w:bCs/>
              </w:rPr>
            </w:pPr>
            <w:r w:rsidRPr="6F6A5B82">
              <w:rPr>
                <w:rFonts w:ascii="Work Sans" w:hAnsi="Work Sans" w:cs="Arial"/>
                <w:b/>
                <w:bCs/>
              </w:rPr>
              <w:lastRenderedPageBreak/>
              <w:t>MAIN REPORT</w:t>
            </w:r>
          </w:p>
        </w:tc>
      </w:tr>
      <w:tr w:rsidR="00994412" w:rsidRPr="004C0427" w14:paraId="13E12AB0" w14:textId="77777777" w:rsidTr="003F6ACA">
        <w:tc>
          <w:tcPr>
            <w:tcW w:w="10207" w:type="dxa"/>
            <w:gridSpan w:val="7"/>
          </w:tcPr>
          <w:p w14:paraId="40F51B1F" w14:textId="6CAFDCDD" w:rsidR="00F44405" w:rsidRPr="0047629F" w:rsidRDefault="00F44405" w:rsidP="00B94B6D">
            <w:pPr>
              <w:pStyle w:val="ListParagraph"/>
              <w:numPr>
                <w:ilvl w:val="1"/>
                <w:numId w:val="1"/>
              </w:numPr>
              <w:spacing w:before="60" w:after="120"/>
              <w:ind w:left="794" w:hanging="794"/>
              <w:contextualSpacing w:val="0"/>
              <w:jc w:val="both"/>
              <w:rPr>
                <w:rFonts w:ascii="Work Sans" w:hAnsi="Work Sans"/>
                <w:b/>
                <w:bCs/>
              </w:rPr>
            </w:pPr>
            <w:r w:rsidRPr="0047629F">
              <w:rPr>
                <w:rFonts w:ascii="Work Sans" w:hAnsi="Work Sans"/>
                <w:b/>
                <w:bCs/>
              </w:rPr>
              <w:t>Compliance with the Housing Ombudsman Complaint Handling Code</w:t>
            </w:r>
          </w:p>
          <w:p w14:paraId="23803C2F" w14:textId="21E2BA06" w:rsidR="003011F2" w:rsidRPr="0047629F" w:rsidRDefault="000F2C09" w:rsidP="00B94B6D">
            <w:pPr>
              <w:pStyle w:val="ListParagraph"/>
              <w:numPr>
                <w:ilvl w:val="1"/>
                <w:numId w:val="1"/>
              </w:numPr>
              <w:spacing w:before="60" w:after="120"/>
              <w:ind w:left="794" w:hanging="794"/>
              <w:contextualSpacing w:val="0"/>
              <w:jc w:val="both"/>
              <w:rPr>
                <w:rFonts w:ascii="Work Sans" w:hAnsi="Work Sans"/>
              </w:rPr>
            </w:pPr>
            <w:r w:rsidRPr="0047629F">
              <w:rPr>
                <w:rFonts w:ascii="Work Sans" w:hAnsi="Work Sans"/>
              </w:rPr>
              <w:t>Under the Housing Ombudsman’s Complaint Handling Code, landlords are required to complete a set of annual compliance activities to ensure transparency</w:t>
            </w:r>
            <w:r w:rsidR="0024154A" w:rsidRPr="0047629F">
              <w:rPr>
                <w:rFonts w:ascii="Work Sans" w:hAnsi="Work Sans"/>
              </w:rPr>
              <w:t xml:space="preserve">, scrutiny and </w:t>
            </w:r>
            <w:r w:rsidR="00F44405" w:rsidRPr="0047629F">
              <w:rPr>
                <w:rFonts w:ascii="Work Sans" w:hAnsi="Work Sans"/>
              </w:rPr>
              <w:t>continuous</w:t>
            </w:r>
            <w:r w:rsidR="0024154A" w:rsidRPr="0047629F">
              <w:rPr>
                <w:rFonts w:ascii="Work Sans" w:hAnsi="Work Sans"/>
              </w:rPr>
              <w:t xml:space="preserve"> improvement. </w:t>
            </w:r>
          </w:p>
          <w:p w14:paraId="5CDAF1EF" w14:textId="6D343F86" w:rsidR="0024154A" w:rsidRPr="0047629F" w:rsidRDefault="0024154A" w:rsidP="00723A25">
            <w:pPr>
              <w:pStyle w:val="ListParagraph"/>
              <w:numPr>
                <w:ilvl w:val="1"/>
                <w:numId w:val="1"/>
              </w:numPr>
              <w:spacing w:before="60" w:after="120"/>
              <w:ind w:left="794" w:hanging="794"/>
              <w:contextualSpacing w:val="0"/>
              <w:jc w:val="both"/>
              <w:rPr>
                <w:rFonts w:ascii="Work Sans" w:hAnsi="Work Sans"/>
              </w:rPr>
            </w:pPr>
            <w:r w:rsidRPr="0047629F">
              <w:rPr>
                <w:rFonts w:ascii="Work Sans" w:hAnsi="Work Sans"/>
              </w:rPr>
              <w:t>Each year the organisation must undertake</w:t>
            </w:r>
            <w:r w:rsidR="00611153" w:rsidRPr="0047629F">
              <w:rPr>
                <w:rFonts w:ascii="Work Sans" w:hAnsi="Work Sans"/>
              </w:rPr>
              <w:t xml:space="preserve"> a</w:t>
            </w:r>
            <w:r w:rsidRPr="0047629F">
              <w:rPr>
                <w:rFonts w:ascii="Work Sans" w:hAnsi="Work Sans"/>
              </w:rPr>
              <w:t xml:space="preserve"> formal Self-Assessment against the Code – evidencing how its complaints handling meets each requirement and identifying any gaps or actions for improvement.</w:t>
            </w:r>
          </w:p>
          <w:p w14:paraId="46753048" w14:textId="393F30E7" w:rsidR="0024154A" w:rsidRPr="0047629F" w:rsidRDefault="0024154A" w:rsidP="00B94B6D">
            <w:pPr>
              <w:pStyle w:val="ListParagraph"/>
              <w:numPr>
                <w:ilvl w:val="1"/>
                <w:numId w:val="1"/>
              </w:numPr>
              <w:spacing w:before="60" w:after="120"/>
              <w:ind w:left="794" w:hanging="794"/>
              <w:contextualSpacing w:val="0"/>
              <w:jc w:val="both"/>
              <w:rPr>
                <w:rFonts w:ascii="Work Sans" w:hAnsi="Work Sans"/>
              </w:rPr>
            </w:pPr>
            <w:r w:rsidRPr="0047629F">
              <w:rPr>
                <w:rFonts w:ascii="Work Sans" w:hAnsi="Work Sans"/>
              </w:rPr>
              <w:t xml:space="preserve">The self-assessment forms part of a wider Annual Complaints Performance and Service improvement report, which includes </w:t>
            </w:r>
            <w:r w:rsidR="00F44405" w:rsidRPr="0047629F">
              <w:rPr>
                <w:rFonts w:ascii="Work Sans" w:hAnsi="Work Sans"/>
              </w:rPr>
              <w:t>analysis</w:t>
            </w:r>
            <w:r w:rsidRPr="0047629F">
              <w:rPr>
                <w:rFonts w:ascii="Work Sans" w:hAnsi="Work Sans"/>
              </w:rPr>
              <w:t xml:space="preserve"> of complaint volumes, themes, learning and service improvements. </w:t>
            </w:r>
          </w:p>
          <w:p w14:paraId="6C0AD5C7" w14:textId="35FC5B85" w:rsidR="0024154A" w:rsidRPr="0047629F" w:rsidRDefault="0024154A" w:rsidP="00B94B6D">
            <w:pPr>
              <w:pStyle w:val="ListParagraph"/>
              <w:numPr>
                <w:ilvl w:val="1"/>
                <w:numId w:val="1"/>
              </w:numPr>
              <w:spacing w:before="60" w:after="120"/>
              <w:ind w:left="794" w:hanging="794"/>
              <w:contextualSpacing w:val="0"/>
              <w:jc w:val="both"/>
              <w:rPr>
                <w:rFonts w:ascii="Work Sans" w:hAnsi="Work Sans"/>
              </w:rPr>
            </w:pPr>
            <w:r w:rsidRPr="0047629F">
              <w:rPr>
                <w:rFonts w:ascii="Work Sans" w:hAnsi="Work Sans"/>
              </w:rPr>
              <w:t xml:space="preserve">Both the report and the </w:t>
            </w:r>
            <w:r w:rsidR="00F44405" w:rsidRPr="0047629F">
              <w:rPr>
                <w:rFonts w:ascii="Work Sans" w:hAnsi="Work Sans"/>
              </w:rPr>
              <w:t>self-assessment</w:t>
            </w:r>
            <w:r w:rsidRPr="0047629F">
              <w:rPr>
                <w:rFonts w:ascii="Work Sans" w:hAnsi="Work Sans"/>
              </w:rPr>
              <w:t xml:space="preserve"> must be reviewed and approved by the governing body – Board </w:t>
            </w:r>
            <w:r w:rsidR="00A40486" w:rsidRPr="0047629F">
              <w:rPr>
                <w:rFonts w:ascii="Work Sans" w:hAnsi="Work Sans"/>
              </w:rPr>
              <w:t>–</w:t>
            </w:r>
            <w:r w:rsidRPr="0047629F">
              <w:rPr>
                <w:rFonts w:ascii="Work Sans" w:hAnsi="Work Sans"/>
              </w:rPr>
              <w:t xml:space="preserve"> </w:t>
            </w:r>
            <w:r w:rsidR="00A40486" w:rsidRPr="0047629F">
              <w:rPr>
                <w:rFonts w:ascii="Work Sans" w:hAnsi="Work Sans"/>
              </w:rPr>
              <w:t xml:space="preserve">and then published on the </w:t>
            </w:r>
            <w:r w:rsidR="0047629F" w:rsidRPr="0047629F">
              <w:rPr>
                <w:rFonts w:ascii="Work Sans" w:hAnsi="Work Sans"/>
              </w:rPr>
              <w:t>organisation’s</w:t>
            </w:r>
            <w:r w:rsidR="00A40486" w:rsidRPr="0047629F">
              <w:rPr>
                <w:rFonts w:ascii="Work Sans" w:hAnsi="Work Sans"/>
              </w:rPr>
              <w:t xml:space="preserve"> </w:t>
            </w:r>
            <w:r w:rsidR="00A40486" w:rsidRPr="0047629F">
              <w:rPr>
                <w:rFonts w:ascii="Work Sans" w:hAnsi="Work Sans"/>
              </w:rPr>
              <w:lastRenderedPageBreak/>
              <w:t xml:space="preserve">website, alongside a formal Board response that sets out its view, challenge and assurance. </w:t>
            </w:r>
          </w:p>
          <w:p w14:paraId="08312E7B" w14:textId="346CE3AE" w:rsidR="006E2314" w:rsidRPr="00D25D43" w:rsidRDefault="00611153" w:rsidP="00B94B6D">
            <w:pPr>
              <w:pStyle w:val="ListParagraph"/>
              <w:numPr>
                <w:ilvl w:val="1"/>
                <w:numId w:val="1"/>
              </w:numPr>
              <w:spacing w:before="60" w:after="120"/>
              <w:ind w:left="794" w:hanging="794"/>
              <w:contextualSpacing w:val="0"/>
              <w:jc w:val="both"/>
              <w:rPr>
                <w:rFonts w:ascii="Work Sans" w:hAnsi="Work Sans"/>
              </w:rPr>
            </w:pPr>
            <w:r w:rsidRPr="0047629F">
              <w:rPr>
                <w:rFonts w:ascii="Work Sans" w:hAnsi="Work Sans"/>
              </w:rPr>
              <w:t xml:space="preserve">This report makes up the Annual Complaints Performance and Service Improvement </w:t>
            </w:r>
            <w:r w:rsidR="00F44405" w:rsidRPr="0047629F">
              <w:rPr>
                <w:rFonts w:ascii="Work Sans" w:hAnsi="Work Sans"/>
              </w:rPr>
              <w:t xml:space="preserve">report </w:t>
            </w:r>
            <w:proofErr w:type="gramStart"/>
            <w:r w:rsidR="00F44405" w:rsidRPr="0047629F">
              <w:rPr>
                <w:rFonts w:ascii="Work Sans" w:hAnsi="Work Sans"/>
              </w:rPr>
              <w:t>and</w:t>
            </w:r>
            <w:r w:rsidRPr="0047629F">
              <w:rPr>
                <w:rFonts w:ascii="Work Sans" w:hAnsi="Work Sans"/>
              </w:rPr>
              <w:t xml:space="preserve"> </w:t>
            </w:r>
            <w:r w:rsidR="00F44405" w:rsidRPr="0047629F">
              <w:rPr>
                <w:rFonts w:ascii="Work Sans" w:hAnsi="Work Sans"/>
              </w:rPr>
              <w:t>also</w:t>
            </w:r>
            <w:proofErr w:type="gramEnd"/>
            <w:r w:rsidR="00F44405" w:rsidRPr="0047629F">
              <w:rPr>
                <w:rFonts w:ascii="Work Sans" w:hAnsi="Work Sans"/>
              </w:rPr>
              <w:t xml:space="preserve"> includes</w:t>
            </w:r>
            <w:r w:rsidR="009A362E" w:rsidRPr="0047629F">
              <w:rPr>
                <w:rFonts w:ascii="Work Sans" w:hAnsi="Work Sans"/>
              </w:rPr>
              <w:t xml:space="preserve"> a ‘customer friendly version’ of this report (available in Appendix 1) and a Self-Assessment document (available </w:t>
            </w:r>
            <w:r w:rsidR="009A362E" w:rsidRPr="00D25D43">
              <w:rPr>
                <w:rFonts w:ascii="Work Sans" w:hAnsi="Work Sans"/>
              </w:rPr>
              <w:t>in</w:t>
            </w:r>
            <w:r w:rsidR="00D25D43">
              <w:rPr>
                <w:rFonts w:ascii="Work Sans" w:hAnsi="Work Sans"/>
              </w:rPr>
              <w:t xml:space="preserve"> </w:t>
            </w:r>
            <w:r w:rsidR="009A362E" w:rsidRPr="00D25D43">
              <w:rPr>
                <w:rFonts w:ascii="Work Sans" w:hAnsi="Work Sans"/>
              </w:rPr>
              <w:t>Appendix 2).</w:t>
            </w:r>
          </w:p>
          <w:p w14:paraId="62B420AB" w14:textId="1C8C70DF" w:rsidR="009A362E" w:rsidRPr="00D25D43" w:rsidRDefault="000448D7" w:rsidP="00B94B6D">
            <w:pPr>
              <w:pStyle w:val="ListParagraph"/>
              <w:numPr>
                <w:ilvl w:val="1"/>
                <w:numId w:val="1"/>
              </w:numPr>
              <w:spacing w:before="60" w:after="120"/>
              <w:ind w:left="794" w:hanging="794"/>
              <w:contextualSpacing w:val="0"/>
              <w:jc w:val="both"/>
              <w:rPr>
                <w:rFonts w:ascii="Work Sans" w:hAnsi="Work Sans"/>
                <w:b/>
                <w:bCs/>
              </w:rPr>
            </w:pPr>
            <w:r w:rsidRPr="00D25D43">
              <w:rPr>
                <w:rFonts w:ascii="Work Sans" w:hAnsi="Work Sans"/>
                <w:b/>
                <w:bCs/>
              </w:rPr>
              <w:t>Customer Friendly Report</w:t>
            </w:r>
          </w:p>
          <w:p w14:paraId="2CE7D690" w14:textId="4400F61D" w:rsidR="00611153" w:rsidRPr="00D25D43" w:rsidRDefault="00EF57B3" w:rsidP="00B94B6D">
            <w:pPr>
              <w:pStyle w:val="ListParagraph"/>
              <w:numPr>
                <w:ilvl w:val="1"/>
                <w:numId w:val="1"/>
              </w:numPr>
              <w:spacing w:before="60" w:after="120"/>
              <w:ind w:left="794" w:hanging="794"/>
              <w:contextualSpacing w:val="0"/>
              <w:jc w:val="both"/>
              <w:rPr>
                <w:rFonts w:ascii="Work Sans" w:hAnsi="Work Sans"/>
                <w:b/>
                <w:bCs/>
              </w:rPr>
            </w:pPr>
            <w:r w:rsidRPr="00D25D43">
              <w:rPr>
                <w:rFonts w:ascii="Work Sans" w:hAnsi="Work Sans"/>
              </w:rPr>
              <w:t>This is the second year in which a customer-friendly version of this report has been produced, with the aim of improving accessibility and readability for a wider audience. This approach was first introduced on a trial basis last year.</w:t>
            </w:r>
          </w:p>
          <w:p w14:paraId="15ECBB3D" w14:textId="204195E2" w:rsidR="005129B1" w:rsidRPr="00D25D43" w:rsidRDefault="00912566" w:rsidP="00B94B6D">
            <w:pPr>
              <w:pStyle w:val="ListParagraph"/>
              <w:numPr>
                <w:ilvl w:val="1"/>
                <w:numId w:val="1"/>
              </w:numPr>
              <w:spacing w:before="60" w:after="120"/>
              <w:ind w:left="794" w:hanging="794"/>
              <w:contextualSpacing w:val="0"/>
              <w:jc w:val="both"/>
              <w:rPr>
                <w:rFonts w:ascii="Work Sans" w:hAnsi="Work Sans"/>
                <w:b/>
                <w:bCs/>
              </w:rPr>
            </w:pPr>
            <w:r w:rsidRPr="00D25D43">
              <w:rPr>
                <w:rFonts w:ascii="Work Sans" w:hAnsi="Work Sans"/>
              </w:rPr>
              <w:t xml:space="preserve">The initiative was positively received by the Housing Ombudsman, who welcomed the move to present information in a more accessible and user-friendly format. </w:t>
            </w:r>
            <w:proofErr w:type="gramStart"/>
            <w:r w:rsidRPr="00D25D43">
              <w:rPr>
                <w:rFonts w:ascii="Work Sans" w:hAnsi="Work Sans"/>
              </w:rPr>
              <w:t>In light of</w:t>
            </w:r>
            <w:proofErr w:type="gramEnd"/>
            <w:r w:rsidRPr="00D25D43">
              <w:rPr>
                <w:rFonts w:ascii="Work Sans" w:hAnsi="Work Sans"/>
              </w:rPr>
              <w:t xml:space="preserve"> this feedback, the approach has been continued for the current reporting year.</w:t>
            </w:r>
          </w:p>
          <w:p w14:paraId="4FE0E33C" w14:textId="140844EB" w:rsidR="009022D0" w:rsidRPr="00D25D43" w:rsidRDefault="00912566" w:rsidP="00B94B6D">
            <w:pPr>
              <w:pStyle w:val="ListParagraph"/>
              <w:numPr>
                <w:ilvl w:val="1"/>
                <w:numId w:val="1"/>
              </w:numPr>
              <w:spacing w:before="60" w:after="120"/>
              <w:ind w:left="794" w:hanging="794"/>
              <w:contextualSpacing w:val="0"/>
              <w:jc w:val="both"/>
              <w:rPr>
                <w:rFonts w:ascii="Work Sans" w:hAnsi="Work Sans"/>
                <w:b/>
                <w:bCs/>
              </w:rPr>
            </w:pPr>
            <w:r w:rsidRPr="00D25D43">
              <w:rPr>
                <w:rFonts w:ascii="Work Sans" w:hAnsi="Work Sans"/>
              </w:rPr>
              <w:t>To ensure the report remains relevant and useful to customers, we utilised the launch of a new online customer forum to gather feedback from involved customers. Participants were invited to review last year’s version and provide suggestions for improvements to this year’s publication.</w:t>
            </w:r>
          </w:p>
          <w:p w14:paraId="02FF50C9" w14:textId="48F8940E" w:rsidR="009022D0" w:rsidRPr="00D25D43" w:rsidRDefault="00D25D43" w:rsidP="00B94B6D">
            <w:pPr>
              <w:pStyle w:val="ListParagraph"/>
              <w:numPr>
                <w:ilvl w:val="1"/>
                <w:numId w:val="1"/>
              </w:numPr>
              <w:spacing w:before="60" w:after="120"/>
              <w:ind w:left="794" w:hanging="794"/>
              <w:contextualSpacing w:val="0"/>
              <w:jc w:val="both"/>
              <w:rPr>
                <w:rFonts w:ascii="Work Sans" w:hAnsi="Work Sans"/>
                <w:b/>
                <w:bCs/>
              </w:rPr>
            </w:pPr>
            <w:r w:rsidRPr="00D25D43">
              <w:rPr>
                <w:rFonts w:ascii="Work Sans" w:hAnsi="Work Sans"/>
              </w:rPr>
              <w:t>Feedback highlighted that customers valued the report’s openness, transparency and clear explanation of how complaints are handled. They also welcomed the inclusion of messages from senior leaders. Suggestions for improvement focused on enhancing accessibility, including the introduction of a contents page, clearer visual diagrams and the inclusion of customer case studies.</w:t>
            </w:r>
          </w:p>
          <w:p w14:paraId="2D383A86" w14:textId="77777777" w:rsidR="00DA2EDB" w:rsidRPr="00DA2EDB" w:rsidRDefault="00D25D43" w:rsidP="00B94B6D">
            <w:pPr>
              <w:pStyle w:val="ListParagraph"/>
              <w:numPr>
                <w:ilvl w:val="1"/>
                <w:numId w:val="1"/>
              </w:numPr>
              <w:spacing w:before="60" w:after="120"/>
              <w:ind w:left="794" w:hanging="794"/>
              <w:contextualSpacing w:val="0"/>
              <w:jc w:val="both"/>
              <w:rPr>
                <w:rFonts w:ascii="Work Sans" w:hAnsi="Work Sans"/>
                <w:b/>
                <w:bCs/>
              </w:rPr>
            </w:pPr>
            <w:r w:rsidRPr="00D25D43">
              <w:rPr>
                <w:rFonts w:ascii="Work Sans" w:hAnsi="Work Sans"/>
              </w:rPr>
              <w:t>This feedback has been incorporated into this year’s report. We will work closely with the Marketing team to ensure the final publication maximises accessibility, including consideration of formats that can be easily translated.</w:t>
            </w:r>
          </w:p>
          <w:p w14:paraId="163EF300" w14:textId="5B906F9D" w:rsidR="000B4216" w:rsidRPr="00CB6665" w:rsidRDefault="00384735" w:rsidP="00B94B6D">
            <w:pPr>
              <w:pStyle w:val="ListParagraph"/>
              <w:numPr>
                <w:ilvl w:val="1"/>
                <w:numId w:val="1"/>
              </w:numPr>
              <w:spacing w:before="60" w:after="120"/>
              <w:ind w:left="794" w:hanging="794"/>
              <w:contextualSpacing w:val="0"/>
              <w:jc w:val="both"/>
              <w:rPr>
                <w:rFonts w:ascii="Work Sans" w:hAnsi="Work Sans"/>
                <w:b/>
                <w:bCs/>
              </w:rPr>
            </w:pPr>
            <w:r w:rsidRPr="00384735">
              <w:rPr>
                <w:rFonts w:ascii="Work Sans" w:hAnsi="Work Sans"/>
              </w:rPr>
              <w:t>The customer‑friendly report was presented to Customer Committee prior to Board approval. Feedback was received and changes were made as a result. One recommendation, to include a graph, was not taken forward as this level of detail is already available in this published report, and customers told us they did not want too much detail. This information remains available for those who wish to explore the data further.</w:t>
            </w:r>
          </w:p>
          <w:p w14:paraId="2F47D1F1" w14:textId="3F414222" w:rsidR="000448D7" w:rsidRPr="00CB6665" w:rsidRDefault="000448D7" w:rsidP="00B94B6D">
            <w:pPr>
              <w:pStyle w:val="ListParagraph"/>
              <w:numPr>
                <w:ilvl w:val="1"/>
                <w:numId w:val="1"/>
              </w:numPr>
              <w:spacing w:before="60" w:after="120"/>
              <w:ind w:left="794" w:hanging="794"/>
              <w:contextualSpacing w:val="0"/>
              <w:jc w:val="both"/>
              <w:rPr>
                <w:rFonts w:ascii="Work Sans" w:hAnsi="Work Sans"/>
                <w:b/>
                <w:bCs/>
              </w:rPr>
            </w:pPr>
            <w:r w:rsidRPr="00CB6665">
              <w:rPr>
                <w:rFonts w:ascii="Work Sans" w:hAnsi="Work Sans"/>
                <w:b/>
                <w:bCs/>
              </w:rPr>
              <w:t>Self-Assessment Document</w:t>
            </w:r>
          </w:p>
          <w:p w14:paraId="7182F2DC" w14:textId="77777777" w:rsidR="0020007B" w:rsidRPr="00CB6665" w:rsidRDefault="00F22689" w:rsidP="00B94B6D">
            <w:pPr>
              <w:pStyle w:val="ListParagraph"/>
              <w:numPr>
                <w:ilvl w:val="1"/>
                <w:numId w:val="1"/>
              </w:numPr>
              <w:spacing w:before="60" w:after="120"/>
              <w:ind w:left="794" w:hanging="794"/>
              <w:contextualSpacing w:val="0"/>
              <w:jc w:val="both"/>
              <w:rPr>
                <w:rFonts w:ascii="Work Sans" w:hAnsi="Work Sans"/>
              </w:rPr>
            </w:pPr>
            <w:r w:rsidRPr="00CB6665">
              <w:rPr>
                <w:rFonts w:ascii="Work Sans" w:hAnsi="Work Sans"/>
              </w:rPr>
              <w:t>T</w:t>
            </w:r>
            <w:r w:rsidR="000F737B" w:rsidRPr="00CB6665">
              <w:rPr>
                <w:rFonts w:ascii="Work Sans" w:hAnsi="Work Sans"/>
              </w:rPr>
              <w:t>he H</w:t>
            </w:r>
            <w:r w:rsidR="005606C7" w:rsidRPr="00CB6665">
              <w:rPr>
                <w:rFonts w:ascii="Work Sans" w:hAnsi="Work Sans"/>
              </w:rPr>
              <w:t xml:space="preserve">ousing Ombudsman’s Complaints Handling Code (2024) requires that we submit an annual self-assessment to demonstrate our compliance against the code. </w:t>
            </w:r>
            <w:r w:rsidR="0020007B" w:rsidRPr="00CB6665">
              <w:rPr>
                <w:rFonts w:ascii="Work Sans" w:hAnsi="Work Sans"/>
              </w:rPr>
              <w:t>T</w:t>
            </w:r>
            <w:r w:rsidRPr="00CB6665">
              <w:rPr>
                <w:rFonts w:ascii="Work Sans" w:hAnsi="Work Sans"/>
              </w:rPr>
              <w:t xml:space="preserve">he self-assessment document can be seen in Appendix 2. </w:t>
            </w:r>
          </w:p>
          <w:p w14:paraId="681BF9F8" w14:textId="77777777" w:rsidR="002E67FF" w:rsidRPr="00CB6665" w:rsidRDefault="00F22689" w:rsidP="00B94B6D">
            <w:pPr>
              <w:pStyle w:val="ListParagraph"/>
              <w:numPr>
                <w:ilvl w:val="1"/>
                <w:numId w:val="1"/>
              </w:numPr>
              <w:spacing w:before="60" w:after="120"/>
              <w:ind w:left="794" w:hanging="794"/>
              <w:contextualSpacing w:val="0"/>
              <w:jc w:val="both"/>
              <w:rPr>
                <w:rFonts w:ascii="Work Sans" w:hAnsi="Work Sans"/>
              </w:rPr>
            </w:pPr>
            <w:r w:rsidRPr="00CB6665">
              <w:rPr>
                <w:rFonts w:ascii="Work Sans" w:hAnsi="Work Sans"/>
              </w:rPr>
              <w:t xml:space="preserve">This </w:t>
            </w:r>
            <w:r w:rsidR="00EA1C53" w:rsidRPr="00CB6665">
              <w:rPr>
                <w:rFonts w:ascii="Work Sans" w:hAnsi="Work Sans"/>
              </w:rPr>
              <w:t xml:space="preserve">self-assessment confirms full compliance </w:t>
            </w:r>
            <w:r w:rsidR="00D41807" w:rsidRPr="00CB6665">
              <w:rPr>
                <w:rFonts w:ascii="Work Sans" w:hAnsi="Work Sans"/>
              </w:rPr>
              <w:t xml:space="preserve">with all elements </w:t>
            </w:r>
            <w:r w:rsidR="00B17318" w:rsidRPr="00CB6665">
              <w:rPr>
                <w:rFonts w:ascii="Work Sans" w:hAnsi="Work Sans"/>
              </w:rPr>
              <w:t xml:space="preserve">of the code, with no areas of non-compliance identified. </w:t>
            </w:r>
            <w:r w:rsidR="00830EBA" w:rsidRPr="00CB6665">
              <w:rPr>
                <w:rFonts w:ascii="Work Sans" w:hAnsi="Work Sans"/>
              </w:rPr>
              <w:t>Recent update</w:t>
            </w:r>
            <w:r w:rsidR="002E67FF" w:rsidRPr="00CB6665">
              <w:rPr>
                <w:rFonts w:ascii="Work Sans" w:hAnsi="Work Sans"/>
              </w:rPr>
              <w:t>s</w:t>
            </w:r>
            <w:r w:rsidR="002E67FF" w:rsidRPr="00CB6665">
              <w:t xml:space="preserve"> </w:t>
            </w:r>
            <w:r w:rsidR="002E67FF" w:rsidRPr="00CB6665">
              <w:rPr>
                <w:rFonts w:ascii="Work Sans" w:hAnsi="Work Sans"/>
              </w:rPr>
              <w:t xml:space="preserve">to the Complaints Policy and Compensation Policy further strengthen alignment with regulatory expectations, improve clarity, and support fair and consistent outcomes. </w:t>
            </w:r>
          </w:p>
          <w:p w14:paraId="02C448E0" w14:textId="7A9DA4D6" w:rsidR="006E2314" w:rsidRPr="00CB6665" w:rsidRDefault="00DA2EDB" w:rsidP="00B94B6D">
            <w:pPr>
              <w:pStyle w:val="ListParagraph"/>
              <w:numPr>
                <w:ilvl w:val="1"/>
                <w:numId w:val="1"/>
              </w:numPr>
              <w:spacing w:before="60" w:after="120"/>
              <w:ind w:left="794" w:hanging="794"/>
              <w:contextualSpacing w:val="0"/>
              <w:jc w:val="both"/>
              <w:rPr>
                <w:rFonts w:ascii="Work Sans" w:hAnsi="Work Sans"/>
              </w:rPr>
            </w:pPr>
            <w:r w:rsidRPr="00CB6665">
              <w:rPr>
                <w:rFonts w:ascii="Work Sans" w:hAnsi="Work Sans"/>
              </w:rPr>
              <w:t>Key</w:t>
            </w:r>
            <w:r w:rsidRPr="00CB6665">
              <w:t xml:space="preserve"> </w:t>
            </w:r>
            <w:r w:rsidRPr="00CB6665">
              <w:rPr>
                <w:rFonts w:ascii="Work Sans" w:hAnsi="Work Sans"/>
              </w:rPr>
              <w:t>priorities for continuous improvement include strengthening staff training and consistency in approach, embedding recent policy changes, addressing system limitations, improving contractor engagement, and supporting understanding of service requests and customer vulnerability.</w:t>
            </w:r>
          </w:p>
          <w:p w14:paraId="46C9F4B4" w14:textId="5E98C314" w:rsidR="00CB6665" w:rsidRPr="00CB6665" w:rsidRDefault="00F1122C" w:rsidP="00B94B6D">
            <w:pPr>
              <w:pStyle w:val="ListParagraph"/>
              <w:numPr>
                <w:ilvl w:val="1"/>
                <w:numId w:val="1"/>
              </w:numPr>
              <w:spacing w:before="60" w:after="120"/>
              <w:ind w:left="794" w:hanging="794"/>
              <w:contextualSpacing w:val="0"/>
              <w:jc w:val="both"/>
              <w:rPr>
                <w:rFonts w:ascii="Work Sans" w:hAnsi="Work Sans"/>
              </w:rPr>
            </w:pPr>
            <w:r w:rsidRPr="00F1122C">
              <w:rPr>
                <w:rFonts w:ascii="Work Sans" w:hAnsi="Work Sans"/>
              </w:rPr>
              <w:t>The self‑assessment was presented to Customer Committee for approval ahead of Board consideration and received approval.</w:t>
            </w:r>
          </w:p>
          <w:p w14:paraId="21703ED4" w14:textId="44A4BCE7" w:rsidR="00812111" w:rsidRPr="00CB6665" w:rsidRDefault="003A5872" w:rsidP="00B94B6D">
            <w:pPr>
              <w:pStyle w:val="ListParagraph"/>
              <w:numPr>
                <w:ilvl w:val="1"/>
                <w:numId w:val="1"/>
              </w:numPr>
              <w:spacing w:before="60" w:after="120"/>
              <w:ind w:left="794" w:hanging="794"/>
              <w:contextualSpacing w:val="0"/>
              <w:jc w:val="both"/>
              <w:rPr>
                <w:rFonts w:ascii="Work Sans" w:hAnsi="Work Sans"/>
                <w:b/>
                <w:bCs/>
              </w:rPr>
            </w:pPr>
            <w:r w:rsidRPr="00CB6665">
              <w:rPr>
                <w:rFonts w:ascii="Work Sans" w:hAnsi="Work Sans"/>
                <w:b/>
                <w:bCs/>
              </w:rPr>
              <w:lastRenderedPageBreak/>
              <w:t>M</w:t>
            </w:r>
            <w:r w:rsidR="00812111" w:rsidRPr="00CB6665">
              <w:rPr>
                <w:rFonts w:ascii="Work Sans" w:hAnsi="Work Sans"/>
                <w:b/>
                <w:bCs/>
              </w:rPr>
              <w:t>ain report</w:t>
            </w:r>
          </w:p>
          <w:p w14:paraId="415B6420" w14:textId="5B0C076F" w:rsidR="00B659ED" w:rsidRPr="0009691C" w:rsidRDefault="00BA3E9F" w:rsidP="00B94B6D">
            <w:pPr>
              <w:pStyle w:val="ListParagraph"/>
              <w:numPr>
                <w:ilvl w:val="1"/>
                <w:numId w:val="1"/>
              </w:numPr>
              <w:spacing w:before="60" w:after="120"/>
              <w:ind w:left="794" w:hanging="794"/>
              <w:contextualSpacing w:val="0"/>
              <w:jc w:val="both"/>
              <w:rPr>
                <w:rFonts w:ascii="Work Sans" w:hAnsi="Work Sans"/>
              </w:rPr>
            </w:pPr>
            <w:r w:rsidRPr="00BA3E9F">
              <w:rPr>
                <w:rFonts w:ascii="Work Sans" w:hAnsi="Work Sans"/>
              </w:rPr>
              <w:t>The remainder of this report sets out our annual qualitative and quantitative analysis, alongside the improvements SYHA has made in response to the learning and insight gained from complaints received.</w:t>
            </w:r>
          </w:p>
          <w:p w14:paraId="6A1CFA83" w14:textId="52B36AFE" w:rsidR="00B659ED" w:rsidRPr="0009691C" w:rsidRDefault="0047629F" w:rsidP="00B659ED">
            <w:pPr>
              <w:pStyle w:val="ListParagraph"/>
              <w:spacing w:before="60" w:after="120"/>
              <w:ind w:left="794"/>
              <w:contextualSpacing w:val="0"/>
              <w:jc w:val="both"/>
              <w:rPr>
                <w:rFonts w:ascii="Work Sans" w:hAnsi="Work Sans"/>
                <w:b/>
                <w:bCs/>
              </w:rPr>
            </w:pPr>
            <w:r>
              <w:rPr>
                <w:rFonts w:ascii="Work Sans" w:hAnsi="Work Sans"/>
                <w:b/>
                <w:bCs/>
              </w:rPr>
              <w:t xml:space="preserve">Our Complaints </w:t>
            </w:r>
            <w:r w:rsidR="00B659ED" w:rsidRPr="0009691C">
              <w:rPr>
                <w:rFonts w:ascii="Work Sans" w:hAnsi="Work Sans"/>
                <w:b/>
                <w:bCs/>
              </w:rPr>
              <w:t xml:space="preserve">Performance </w:t>
            </w:r>
          </w:p>
          <w:p w14:paraId="74C35A17" w14:textId="5E5BFE7B" w:rsidR="00B659ED" w:rsidRPr="0009691C" w:rsidRDefault="00B659ED"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202</w:t>
            </w:r>
            <w:r w:rsidR="00B31A81" w:rsidRPr="0009691C">
              <w:rPr>
                <w:rFonts w:ascii="Work Sans" w:hAnsi="Work Sans"/>
              </w:rPr>
              <w:t>5</w:t>
            </w:r>
            <w:r w:rsidRPr="0009691C">
              <w:rPr>
                <w:rFonts w:ascii="Work Sans" w:hAnsi="Work Sans"/>
              </w:rPr>
              <w:t>/2</w:t>
            </w:r>
            <w:r w:rsidR="00B31A81" w:rsidRPr="0009691C">
              <w:rPr>
                <w:rFonts w:ascii="Work Sans" w:hAnsi="Work Sans"/>
              </w:rPr>
              <w:t>6</w:t>
            </w:r>
            <w:r w:rsidRPr="0009691C">
              <w:rPr>
                <w:rFonts w:ascii="Work Sans" w:hAnsi="Work Sans"/>
              </w:rPr>
              <w:t xml:space="preserve"> is the </w:t>
            </w:r>
            <w:r w:rsidR="00B31A81" w:rsidRPr="0009691C">
              <w:rPr>
                <w:rFonts w:ascii="Work Sans" w:hAnsi="Work Sans"/>
              </w:rPr>
              <w:t>third</w:t>
            </w:r>
            <w:r w:rsidRPr="0009691C">
              <w:rPr>
                <w:rFonts w:ascii="Work Sans" w:hAnsi="Work Sans"/>
              </w:rPr>
              <w:t xml:space="preserve"> year of collecting data for the Tenant Satisfaction Measures (TSMs).  Three of the twenty-two measures relate to complaints.  They are:</w:t>
            </w:r>
          </w:p>
          <w:p w14:paraId="056410C8" w14:textId="77777777" w:rsidR="00B659ED" w:rsidRPr="0009691C" w:rsidRDefault="00B659ED" w:rsidP="00B94B6D">
            <w:pPr>
              <w:pStyle w:val="ListParagraph"/>
              <w:numPr>
                <w:ilvl w:val="2"/>
                <w:numId w:val="3"/>
              </w:numPr>
              <w:ind w:left="1134"/>
              <w:jc w:val="both"/>
              <w:rPr>
                <w:rFonts w:ascii="Work Sans" w:hAnsi="Work Sans"/>
              </w:rPr>
            </w:pPr>
            <w:r w:rsidRPr="0009691C">
              <w:rPr>
                <w:rFonts w:ascii="Work Sans" w:hAnsi="Work Sans"/>
              </w:rPr>
              <w:t xml:space="preserve">CH02. Complaints relative to the size of the landlord </w:t>
            </w:r>
          </w:p>
          <w:p w14:paraId="6AE475D6" w14:textId="77777777" w:rsidR="00B659ED" w:rsidRPr="0009691C" w:rsidRDefault="00B659ED" w:rsidP="00B94B6D">
            <w:pPr>
              <w:pStyle w:val="ListParagraph"/>
              <w:numPr>
                <w:ilvl w:val="2"/>
                <w:numId w:val="3"/>
              </w:numPr>
              <w:ind w:left="1134" w:hanging="357"/>
              <w:jc w:val="both"/>
              <w:rPr>
                <w:rFonts w:ascii="Work Sans" w:hAnsi="Work Sans"/>
              </w:rPr>
            </w:pPr>
            <w:r w:rsidRPr="0009691C">
              <w:rPr>
                <w:rFonts w:ascii="Work Sans" w:hAnsi="Work Sans"/>
              </w:rPr>
              <w:t>CH03. Complaints responded to within Complaint Handling Code timescales</w:t>
            </w:r>
          </w:p>
          <w:p w14:paraId="598980E3" w14:textId="77777777" w:rsidR="00B659ED" w:rsidRDefault="00B659ED" w:rsidP="00B94B6D">
            <w:pPr>
              <w:pStyle w:val="ListParagraph"/>
              <w:numPr>
                <w:ilvl w:val="2"/>
                <w:numId w:val="3"/>
              </w:numPr>
              <w:ind w:left="1134"/>
              <w:jc w:val="both"/>
              <w:rPr>
                <w:rFonts w:ascii="Work Sans" w:hAnsi="Work Sans"/>
              </w:rPr>
            </w:pPr>
            <w:r w:rsidRPr="0009691C">
              <w:rPr>
                <w:rFonts w:ascii="Work Sans" w:hAnsi="Work Sans"/>
              </w:rPr>
              <w:t xml:space="preserve">TP09. </w:t>
            </w:r>
            <w:bookmarkStart w:id="1" w:name="_Hlk167177775"/>
            <w:r w:rsidRPr="0009691C">
              <w:rPr>
                <w:rFonts w:ascii="Work Sans" w:hAnsi="Work Sans"/>
              </w:rPr>
              <w:t xml:space="preserve">Satisfaction with the landlord’s approach to the handling of complaints </w:t>
            </w:r>
            <w:bookmarkEnd w:id="1"/>
          </w:p>
          <w:p w14:paraId="54379805" w14:textId="377E41C7" w:rsidR="009A5AE2" w:rsidRPr="009A5AE2" w:rsidRDefault="009A5AE2" w:rsidP="009A5AE2">
            <w:pPr>
              <w:ind w:left="774"/>
              <w:jc w:val="both"/>
              <w:rPr>
                <w:rFonts w:ascii="Work Sans" w:hAnsi="Work Sans"/>
              </w:rPr>
            </w:pPr>
            <w:r w:rsidRPr="009A5AE2">
              <w:rPr>
                <w:rFonts w:ascii="Work Sans" w:hAnsi="Work Sans"/>
              </w:rPr>
              <w:t>The results of these Tenant Satisfaction Measures (TSMs) are embedded throughout this report and reflected across the relevant sections.</w:t>
            </w:r>
          </w:p>
          <w:p w14:paraId="0B225EE8" w14:textId="47F190A4" w:rsidR="00B659ED" w:rsidRPr="0009691C" w:rsidRDefault="00B659ED"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The sections below show complaint volumes, performance and satisfaction data.  It</w:t>
            </w:r>
            <w:r w:rsidR="00264073" w:rsidRPr="0009691C">
              <w:rPr>
                <w:rFonts w:ascii="Work Sans" w:hAnsi="Work Sans"/>
              </w:rPr>
              <w:t xml:space="preserve"> should be noted that the TSM data only includes complaints when they come from someone living in a SYHA asset, and some of our complaints come from customers who do not live in our assets but do</w:t>
            </w:r>
            <w:r w:rsidR="00F56EA9" w:rsidRPr="0009691C">
              <w:rPr>
                <w:rFonts w:ascii="Work Sans" w:hAnsi="Work Sans"/>
              </w:rPr>
              <w:t xml:space="preserve"> receive services from us</w:t>
            </w:r>
            <w:r w:rsidR="00C053AD" w:rsidRPr="0009691C">
              <w:rPr>
                <w:rFonts w:ascii="Work Sans" w:hAnsi="Work Sans"/>
              </w:rPr>
              <w:t xml:space="preserve">. </w:t>
            </w:r>
            <w:r w:rsidR="00192113" w:rsidRPr="0009691C">
              <w:rPr>
                <w:rFonts w:ascii="Work Sans" w:hAnsi="Work Sans"/>
              </w:rPr>
              <w:t>The difference</w:t>
            </w:r>
            <w:r w:rsidR="00C053AD" w:rsidRPr="0009691C">
              <w:rPr>
                <w:rFonts w:ascii="Work Sans" w:hAnsi="Work Sans"/>
              </w:rPr>
              <w:t xml:space="preserve"> in </w:t>
            </w:r>
            <w:r w:rsidRPr="0009691C">
              <w:rPr>
                <w:rFonts w:ascii="Work Sans" w:hAnsi="Work Sans"/>
              </w:rPr>
              <w:t xml:space="preserve">numbers </w:t>
            </w:r>
            <w:r w:rsidR="00C053AD" w:rsidRPr="0009691C">
              <w:rPr>
                <w:rFonts w:ascii="Work Sans" w:hAnsi="Work Sans"/>
              </w:rPr>
              <w:t xml:space="preserve">is </w:t>
            </w:r>
            <w:r w:rsidRPr="0009691C">
              <w:rPr>
                <w:rFonts w:ascii="Work Sans" w:hAnsi="Work Sans"/>
              </w:rPr>
              <w:t>small</w:t>
            </w:r>
            <w:r w:rsidR="00C053AD" w:rsidRPr="0009691C">
              <w:rPr>
                <w:rFonts w:ascii="Work Sans" w:hAnsi="Work Sans"/>
              </w:rPr>
              <w:t xml:space="preserve"> so comparison with TSM data is still </w:t>
            </w:r>
            <w:r w:rsidR="001A0381" w:rsidRPr="0009691C">
              <w:rPr>
                <w:rFonts w:ascii="Work Sans" w:hAnsi="Work Sans"/>
              </w:rPr>
              <w:t>useful.</w:t>
            </w:r>
            <w:r w:rsidRPr="0009691C">
              <w:rPr>
                <w:rFonts w:ascii="Work Sans" w:hAnsi="Work Sans"/>
              </w:rPr>
              <w:t xml:space="preserve"> </w:t>
            </w:r>
          </w:p>
          <w:p w14:paraId="409FA6F9"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Complaint – Stage 1 volumes</w:t>
            </w:r>
          </w:p>
          <w:p w14:paraId="47D57D3E" w14:textId="383DE25D" w:rsidR="00B659ED" w:rsidRPr="0009691C" w:rsidRDefault="00B659ED"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graph below shows the volume of complaints in </w:t>
            </w:r>
            <w:r w:rsidR="005115BC" w:rsidRPr="0009691C">
              <w:rPr>
                <w:rFonts w:ascii="Work Sans" w:hAnsi="Work Sans"/>
              </w:rPr>
              <w:t>2025/26</w:t>
            </w:r>
            <w:r w:rsidRPr="0009691C">
              <w:rPr>
                <w:rFonts w:ascii="Work Sans" w:hAnsi="Work Sans"/>
              </w:rPr>
              <w:t xml:space="preserve"> and comparisons over the past five years.   </w:t>
            </w:r>
          </w:p>
          <w:p w14:paraId="1498DF4D" w14:textId="77777777" w:rsidR="0087012F" w:rsidRPr="0009691C" w:rsidRDefault="0087012F" w:rsidP="0087012F">
            <w:r w:rsidRPr="0009691C">
              <w:rPr>
                <w:noProof/>
              </w:rPr>
              <w:drawing>
                <wp:inline distT="0" distB="0" distL="0" distR="0" wp14:anchorId="47BB4CBD" wp14:editId="7BF8D718">
                  <wp:extent cx="5765800" cy="3088544"/>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6058" cy="3094039"/>
                          </a:xfrm>
                          <a:prstGeom prst="rect">
                            <a:avLst/>
                          </a:prstGeom>
                          <a:noFill/>
                          <a:ln>
                            <a:noFill/>
                          </a:ln>
                        </pic:spPr>
                      </pic:pic>
                    </a:graphicData>
                  </a:graphic>
                </wp:inline>
              </w:drawing>
            </w:r>
          </w:p>
          <w:p w14:paraId="643284BE" w14:textId="0A9AD4B3" w:rsidR="00B659ED" w:rsidRPr="0009691C" w:rsidRDefault="00B659ED" w:rsidP="00B659ED">
            <w:pPr>
              <w:pStyle w:val="ListParagraph"/>
              <w:spacing w:before="60" w:after="120"/>
              <w:ind w:left="794"/>
              <w:contextualSpacing w:val="0"/>
              <w:jc w:val="both"/>
              <w:rPr>
                <w:rFonts w:ascii="Work Sans" w:hAnsi="Work Sans"/>
              </w:rPr>
            </w:pPr>
          </w:p>
          <w:p w14:paraId="011B6955"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Volume of complaints – by year</w:t>
            </w:r>
          </w:p>
          <w:p w14:paraId="13A4A278" w14:textId="18DE89FF" w:rsidR="00B659ED" w:rsidRPr="0009691C" w:rsidRDefault="0078067E"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Complaint volumes in 2025–26 remained broadly in line with the previous year, with a modest 4% reduction following the peak experienced in 2024–25. </w:t>
            </w:r>
          </w:p>
          <w:p w14:paraId="2DF99F1A"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Raising Awareness - Customers</w:t>
            </w:r>
          </w:p>
          <w:p w14:paraId="5C596EB0" w14:textId="77777777" w:rsidR="00B659ED" w:rsidRDefault="00B659ED"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2024 was the first year all landlords were required to publish:</w:t>
            </w:r>
          </w:p>
          <w:p w14:paraId="0D26F20C" w14:textId="77777777" w:rsidR="002A5639" w:rsidRPr="002A5639" w:rsidRDefault="002A5639" w:rsidP="002A5639">
            <w:pPr>
              <w:pStyle w:val="ListParagraph"/>
              <w:numPr>
                <w:ilvl w:val="2"/>
                <w:numId w:val="1"/>
              </w:numPr>
              <w:spacing w:before="60" w:after="120"/>
              <w:jc w:val="both"/>
              <w:rPr>
                <w:rFonts w:ascii="Work Sans" w:hAnsi="Work Sans"/>
              </w:rPr>
            </w:pPr>
            <w:r w:rsidRPr="002A5639">
              <w:rPr>
                <w:rFonts w:ascii="Work Sans" w:hAnsi="Work Sans"/>
              </w:rPr>
              <w:t>a self-assessment against the Housing Ombudsman’s complaint handling code,</w:t>
            </w:r>
          </w:p>
          <w:p w14:paraId="2A206005" w14:textId="77777777" w:rsidR="002A5639" w:rsidRPr="002A5639" w:rsidRDefault="002A5639" w:rsidP="002A5639">
            <w:pPr>
              <w:pStyle w:val="ListParagraph"/>
              <w:numPr>
                <w:ilvl w:val="2"/>
                <w:numId w:val="1"/>
              </w:numPr>
              <w:spacing w:before="60" w:after="120"/>
              <w:jc w:val="both"/>
              <w:rPr>
                <w:rFonts w:ascii="Work Sans" w:hAnsi="Work Sans"/>
              </w:rPr>
            </w:pPr>
            <w:r w:rsidRPr="002A5639">
              <w:rPr>
                <w:rFonts w:ascii="Work Sans" w:hAnsi="Work Sans"/>
              </w:rPr>
              <w:t xml:space="preserve">an Annual Complaints Performance and Service Improvement Report, </w:t>
            </w:r>
          </w:p>
          <w:p w14:paraId="641DE072" w14:textId="3710795B" w:rsidR="002A5639" w:rsidRDefault="002A5639" w:rsidP="002A5639">
            <w:pPr>
              <w:pStyle w:val="ListParagraph"/>
              <w:numPr>
                <w:ilvl w:val="2"/>
                <w:numId w:val="1"/>
              </w:numPr>
              <w:spacing w:before="60" w:after="120"/>
              <w:contextualSpacing w:val="0"/>
              <w:jc w:val="both"/>
              <w:rPr>
                <w:rFonts w:ascii="Work Sans" w:hAnsi="Work Sans"/>
              </w:rPr>
            </w:pPr>
            <w:r w:rsidRPr="002A5639">
              <w:rPr>
                <w:rFonts w:ascii="Work Sans" w:hAnsi="Work Sans"/>
              </w:rPr>
              <w:t>and a response to the report from the governing body, the Board</w:t>
            </w:r>
          </w:p>
          <w:p w14:paraId="404A4140" w14:textId="537658C4" w:rsidR="00B659ED" w:rsidRPr="002A5639" w:rsidRDefault="002A5639" w:rsidP="002A5639">
            <w:pPr>
              <w:pStyle w:val="ListParagraph"/>
              <w:numPr>
                <w:ilvl w:val="1"/>
                <w:numId w:val="1"/>
              </w:numPr>
              <w:spacing w:before="60" w:after="120"/>
              <w:ind w:left="794" w:hanging="794"/>
              <w:contextualSpacing w:val="0"/>
              <w:jc w:val="both"/>
              <w:rPr>
                <w:rFonts w:ascii="Work Sans" w:hAnsi="Work Sans"/>
              </w:rPr>
            </w:pPr>
            <w:r>
              <w:rPr>
                <w:rFonts w:ascii="Work Sans" w:hAnsi="Work Sans"/>
              </w:rPr>
              <w:t xml:space="preserve">Raising </w:t>
            </w:r>
            <w:r w:rsidRPr="002A5639">
              <w:rPr>
                <w:rFonts w:ascii="Work Sans" w:hAnsi="Work Sans"/>
              </w:rPr>
              <w:t>awareness of complaints remains a key part of strengthening our complaints culture. Over the past year, we have increased opportunities for open dialogue and engagement, including using our online customer forum to review and discuss the annual complaints report, and undertaking proactive visits to Extra Care schemes to speak directly with residents. These activities have helped improve understanding of how to raise concerns, encourage early resolution, and reinforce a positive, transparent approach to complaints</w:t>
            </w:r>
          </w:p>
          <w:p w14:paraId="7BB5FEA7" w14:textId="0AF17EA0" w:rsidR="00B659ED" w:rsidRPr="0009691C" w:rsidRDefault="00B659ED"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In </w:t>
            </w:r>
            <w:r w:rsidR="004C64E4" w:rsidRPr="004C64E4">
              <w:rPr>
                <w:rFonts w:ascii="Work Sans" w:hAnsi="Work Sans"/>
              </w:rPr>
              <w:t>2025/26,</w:t>
            </w:r>
            <w:r w:rsidRPr="0009691C">
              <w:rPr>
                <w:rFonts w:ascii="Work Sans" w:hAnsi="Work Sans"/>
              </w:rPr>
              <w:t xml:space="preserve"> the Housing Ombudsman Service (HOS</w:t>
            </w:r>
            <w:r w:rsidR="004C64E4" w:rsidRPr="004C64E4">
              <w:rPr>
                <w:rFonts w:ascii="Work Sans" w:hAnsi="Work Sans"/>
              </w:rPr>
              <w:t>) has</w:t>
            </w:r>
            <w:r w:rsidRPr="0009691C">
              <w:rPr>
                <w:rFonts w:ascii="Work Sans" w:hAnsi="Work Sans"/>
              </w:rPr>
              <w:t xml:space="preserve"> continued to build on </w:t>
            </w:r>
            <w:r w:rsidR="004C64E4" w:rsidRPr="004C64E4">
              <w:rPr>
                <w:rFonts w:ascii="Work Sans" w:hAnsi="Work Sans"/>
              </w:rPr>
              <w:t>its</w:t>
            </w:r>
            <w:r w:rsidRPr="0009691C">
              <w:rPr>
                <w:rFonts w:ascii="Work Sans" w:hAnsi="Work Sans"/>
              </w:rPr>
              <w:t xml:space="preserve"> work </w:t>
            </w:r>
            <w:r w:rsidR="004C64E4" w:rsidRPr="004C64E4">
              <w:rPr>
                <w:rFonts w:ascii="Work Sans" w:hAnsi="Work Sans"/>
              </w:rPr>
              <w:t>to promote its</w:t>
            </w:r>
            <w:r w:rsidRPr="0009691C">
              <w:rPr>
                <w:rFonts w:ascii="Work Sans" w:hAnsi="Work Sans"/>
              </w:rPr>
              <w:t xml:space="preserve"> service and </w:t>
            </w:r>
            <w:r w:rsidR="004C64E4" w:rsidRPr="004C64E4">
              <w:rPr>
                <w:rFonts w:ascii="Work Sans" w:hAnsi="Work Sans"/>
              </w:rPr>
              <w:t>raise</w:t>
            </w:r>
            <w:r w:rsidRPr="0009691C">
              <w:rPr>
                <w:rFonts w:ascii="Work Sans" w:hAnsi="Work Sans"/>
              </w:rPr>
              <w:t xml:space="preserve"> awareness. The quality of housing</w:t>
            </w:r>
            <w:r w:rsidR="004C64E4" w:rsidRPr="004C64E4">
              <w:rPr>
                <w:rFonts w:ascii="Work Sans" w:hAnsi="Work Sans"/>
              </w:rPr>
              <w:t>,</w:t>
            </w:r>
            <w:r w:rsidRPr="0009691C">
              <w:rPr>
                <w:rFonts w:ascii="Work Sans" w:hAnsi="Work Sans"/>
              </w:rPr>
              <w:t xml:space="preserve"> and how landlords listen to and work with their customers</w:t>
            </w:r>
            <w:r w:rsidR="004C64E4" w:rsidRPr="004C64E4">
              <w:rPr>
                <w:rFonts w:ascii="Work Sans" w:hAnsi="Work Sans"/>
              </w:rPr>
              <w:t>,</w:t>
            </w:r>
            <w:r w:rsidRPr="0009691C">
              <w:rPr>
                <w:rFonts w:ascii="Work Sans" w:hAnsi="Work Sans"/>
              </w:rPr>
              <w:t xml:space="preserve"> continues to </w:t>
            </w:r>
            <w:r w:rsidR="004C64E4" w:rsidRPr="004C64E4">
              <w:rPr>
                <w:rFonts w:ascii="Work Sans" w:hAnsi="Work Sans"/>
              </w:rPr>
              <w:t>attract</w:t>
            </w:r>
            <w:r w:rsidRPr="0009691C">
              <w:rPr>
                <w:rFonts w:ascii="Work Sans" w:hAnsi="Work Sans"/>
              </w:rPr>
              <w:t xml:space="preserve"> media attention. </w:t>
            </w:r>
            <w:r w:rsidR="004C64E4" w:rsidRPr="004C64E4">
              <w:rPr>
                <w:rFonts w:ascii="Work Sans" w:hAnsi="Work Sans"/>
              </w:rPr>
              <w:t>The implementation of Awaab’s Law has maintained a strong focus on housing standards, service delivery, and customers’ rights to complain. On 3 February 2026, new guidance on compensation was published, which comes into effect from 1 April 2026.</w:t>
            </w:r>
            <w:r w:rsidR="007B0E5C">
              <w:rPr>
                <w:rFonts w:ascii="Work Sans" w:hAnsi="Work Sans"/>
              </w:rPr>
              <w:t xml:space="preserve"> </w:t>
            </w:r>
            <w:r w:rsidRPr="0009691C">
              <w:rPr>
                <w:rFonts w:ascii="Work Sans" w:hAnsi="Work Sans"/>
              </w:rPr>
              <w:t xml:space="preserve"> </w:t>
            </w:r>
          </w:p>
          <w:p w14:paraId="19AC6275"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Raising awareness – employees</w:t>
            </w:r>
          </w:p>
          <w:p w14:paraId="0549F049" w14:textId="4AFFED59" w:rsidR="00B659ED" w:rsidRPr="0009691C" w:rsidRDefault="00C3227A" w:rsidP="00B94B6D">
            <w:pPr>
              <w:pStyle w:val="ListParagraph"/>
              <w:numPr>
                <w:ilvl w:val="1"/>
                <w:numId w:val="1"/>
              </w:numPr>
              <w:spacing w:before="60" w:after="120"/>
              <w:ind w:left="794" w:hanging="794"/>
              <w:contextualSpacing w:val="0"/>
              <w:jc w:val="both"/>
              <w:rPr>
                <w:rFonts w:ascii="Work Sans" w:hAnsi="Work Sans"/>
              </w:rPr>
            </w:pPr>
            <w:r>
              <w:rPr>
                <w:rFonts w:ascii="Work Sans" w:hAnsi="Work Sans"/>
              </w:rPr>
              <w:t>We continue</w:t>
            </w:r>
            <w:r w:rsidR="00B659ED" w:rsidRPr="0009691C">
              <w:rPr>
                <w:rFonts w:ascii="Work Sans" w:hAnsi="Work Sans"/>
              </w:rPr>
              <w:t xml:space="preserve"> to raise awareness </w:t>
            </w:r>
            <w:r w:rsidR="00192C1E" w:rsidRPr="0009691C">
              <w:rPr>
                <w:rFonts w:ascii="Work Sans" w:hAnsi="Work Sans"/>
              </w:rPr>
              <w:t xml:space="preserve">of </w:t>
            </w:r>
            <w:r w:rsidR="00B659ED" w:rsidRPr="0009691C">
              <w:rPr>
                <w:rFonts w:ascii="Work Sans" w:hAnsi="Work Sans"/>
              </w:rPr>
              <w:t>our complaints policy, process and the role of the HOS. All employees should</w:t>
            </w:r>
            <w:r w:rsidR="00A328E0" w:rsidRPr="0009691C">
              <w:rPr>
                <w:rFonts w:ascii="Work Sans" w:hAnsi="Work Sans"/>
              </w:rPr>
              <w:t xml:space="preserve"> and </w:t>
            </w:r>
            <w:r w:rsidR="00B659ED" w:rsidRPr="0009691C">
              <w:rPr>
                <w:rFonts w:ascii="Work Sans" w:hAnsi="Work Sans"/>
              </w:rPr>
              <w:t xml:space="preserve">must know what to do when they hear dissatisfaction and the actions they must take. </w:t>
            </w:r>
          </w:p>
          <w:p w14:paraId="0093C277" w14:textId="5C181A58" w:rsidR="00B659ED" w:rsidRPr="0009691C" w:rsidRDefault="00B659ED" w:rsidP="00B94B6D">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Greater awareness supports a consistent approach to recording and responding to complaints and minimises the risk for complaints to be hidden and</w:t>
            </w:r>
            <w:r w:rsidR="00E27B94" w:rsidRPr="0009691C">
              <w:rPr>
                <w:rFonts w:ascii="Work Sans" w:hAnsi="Work Sans"/>
              </w:rPr>
              <w:t>/</w:t>
            </w:r>
            <w:r w:rsidRPr="0009691C">
              <w:rPr>
                <w:rFonts w:ascii="Work Sans" w:hAnsi="Work Sans"/>
              </w:rPr>
              <w:t>or under-report</w:t>
            </w:r>
            <w:r w:rsidR="00E27B94" w:rsidRPr="0009691C">
              <w:rPr>
                <w:rFonts w:ascii="Work Sans" w:hAnsi="Work Sans"/>
              </w:rPr>
              <w:t>ed</w:t>
            </w:r>
            <w:r w:rsidRPr="0009691C">
              <w:rPr>
                <w:rFonts w:ascii="Work Sans" w:hAnsi="Work Sans"/>
              </w:rPr>
              <w:t>.</w:t>
            </w:r>
          </w:p>
          <w:p w14:paraId="3F980D92" w14:textId="36BD61D4" w:rsidR="00B659ED" w:rsidRPr="0009691C" w:rsidRDefault="00B659ED" w:rsidP="00546469">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There </w:t>
            </w:r>
            <w:r w:rsidR="002230C3">
              <w:rPr>
                <w:rFonts w:ascii="Work Sans" w:hAnsi="Work Sans"/>
              </w:rPr>
              <w:t>is work happening</w:t>
            </w:r>
            <w:r w:rsidRPr="0009691C">
              <w:rPr>
                <w:rFonts w:ascii="Work Sans" w:hAnsi="Work Sans"/>
              </w:rPr>
              <w:t xml:space="preserve"> to further embed this: </w:t>
            </w:r>
          </w:p>
          <w:p w14:paraId="474D78AD" w14:textId="6AFD4AB7" w:rsidR="00B659ED" w:rsidRPr="0009691C" w:rsidRDefault="00B659ED" w:rsidP="00B94B6D">
            <w:pPr>
              <w:pStyle w:val="ListParagraph"/>
              <w:numPr>
                <w:ilvl w:val="1"/>
                <w:numId w:val="5"/>
              </w:numPr>
              <w:ind w:left="1151" w:hanging="357"/>
              <w:contextualSpacing w:val="0"/>
              <w:jc w:val="both"/>
              <w:rPr>
                <w:rFonts w:ascii="Work Sans" w:hAnsi="Work Sans"/>
              </w:rPr>
            </w:pPr>
            <w:r w:rsidRPr="0009691C">
              <w:rPr>
                <w:rFonts w:ascii="Work Sans" w:hAnsi="Work Sans"/>
              </w:rPr>
              <w:t>a LiveWell complaints improvement project,</w:t>
            </w:r>
            <w:r w:rsidR="00F63B37">
              <w:rPr>
                <w:rFonts w:ascii="Work Sans" w:hAnsi="Work Sans"/>
              </w:rPr>
              <w:t xml:space="preserve"> including further training for managers</w:t>
            </w:r>
            <w:r w:rsidR="00F9091B">
              <w:rPr>
                <w:rFonts w:ascii="Work Sans" w:hAnsi="Work Sans"/>
              </w:rPr>
              <w:t xml:space="preserve"> </w:t>
            </w:r>
          </w:p>
          <w:p w14:paraId="021B539A" w14:textId="1C2E37E7" w:rsidR="00B659ED" w:rsidRDefault="00165336" w:rsidP="00B94B6D">
            <w:pPr>
              <w:pStyle w:val="ListParagraph"/>
              <w:numPr>
                <w:ilvl w:val="1"/>
                <w:numId w:val="5"/>
              </w:numPr>
              <w:ind w:left="1151" w:hanging="357"/>
              <w:jc w:val="both"/>
              <w:rPr>
                <w:rFonts w:ascii="Work Sans" w:hAnsi="Work Sans"/>
              </w:rPr>
            </w:pPr>
            <w:r>
              <w:rPr>
                <w:rFonts w:ascii="Work Sans" w:hAnsi="Work Sans"/>
              </w:rPr>
              <w:t xml:space="preserve">Having a </w:t>
            </w:r>
            <w:r w:rsidR="00B659ED" w:rsidRPr="0009691C">
              <w:rPr>
                <w:rFonts w:ascii="Work Sans" w:hAnsi="Work Sans"/>
              </w:rPr>
              <w:t>clear objective relating to complaints</w:t>
            </w:r>
            <w:r>
              <w:rPr>
                <w:rFonts w:ascii="Work Sans" w:hAnsi="Work Sans"/>
              </w:rPr>
              <w:t xml:space="preserve"> for all employees</w:t>
            </w:r>
            <w:r w:rsidR="00B659ED" w:rsidRPr="0009691C">
              <w:rPr>
                <w:rFonts w:ascii="Work Sans" w:hAnsi="Work Sans"/>
              </w:rPr>
              <w:t xml:space="preserve">. </w:t>
            </w:r>
          </w:p>
          <w:p w14:paraId="3E849843" w14:textId="2FA558E0" w:rsidR="004549B4" w:rsidRDefault="004549B4" w:rsidP="00B94B6D">
            <w:pPr>
              <w:pStyle w:val="ListParagraph"/>
              <w:numPr>
                <w:ilvl w:val="1"/>
                <w:numId w:val="5"/>
              </w:numPr>
              <w:ind w:left="1151" w:hanging="357"/>
              <w:jc w:val="both"/>
              <w:rPr>
                <w:rFonts w:ascii="Work Sans" w:hAnsi="Work Sans"/>
              </w:rPr>
            </w:pPr>
            <w:r>
              <w:rPr>
                <w:rFonts w:ascii="Work Sans" w:hAnsi="Work Sans"/>
              </w:rPr>
              <w:t xml:space="preserve">A quarterly internal newsletter to give feedback to all employees on customer voice, with a strong focus on complaints. </w:t>
            </w:r>
          </w:p>
          <w:p w14:paraId="006794A0" w14:textId="459FEEC8" w:rsidR="004549B4" w:rsidRDefault="004549B4" w:rsidP="00B94B6D">
            <w:pPr>
              <w:pStyle w:val="ListParagraph"/>
              <w:numPr>
                <w:ilvl w:val="1"/>
                <w:numId w:val="5"/>
              </w:numPr>
              <w:ind w:left="1151" w:hanging="357"/>
              <w:jc w:val="both"/>
              <w:rPr>
                <w:rFonts w:ascii="Work Sans" w:hAnsi="Work Sans"/>
              </w:rPr>
            </w:pPr>
            <w:r>
              <w:rPr>
                <w:rFonts w:ascii="Work Sans" w:hAnsi="Work Sans"/>
              </w:rPr>
              <w:t xml:space="preserve">Internal working groups that cover complaints with key services. </w:t>
            </w:r>
          </w:p>
          <w:p w14:paraId="2691C5BF" w14:textId="77777777" w:rsidR="004549B4" w:rsidRPr="0009691C" w:rsidRDefault="004549B4" w:rsidP="004549B4">
            <w:pPr>
              <w:pStyle w:val="ListParagraph"/>
              <w:ind w:left="1151"/>
              <w:jc w:val="both"/>
              <w:rPr>
                <w:rFonts w:ascii="Work Sans" w:hAnsi="Work Sans"/>
              </w:rPr>
            </w:pPr>
          </w:p>
          <w:p w14:paraId="06D49D40" w14:textId="6722FBEC" w:rsidR="00B659ED" w:rsidRPr="0009691C" w:rsidRDefault="00B659ED" w:rsidP="00F1122C">
            <w:pPr>
              <w:pStyle w:val="ListParagraph"/>
              <w:spacing w:before="60" w:after="120"/>
              <w:ind w:left="794"/>
              <w:contextualSpacing w:val="0"/>
              <w:jc w:val="both"/>
              <w:rPr>
                <w:rFonts w:ascii="Work Sans" w:hAnsi="Work Sans"/>
              </w:rPr>
            </w:pPr>
            <w:r w:rsidRPr="0009691C">
              <w:rPr>
                <w:rFonts w:ascii="Work Sans" w:hAnsi="Work Sans"/>
                <w:b/>
                <w:bCs/>
              </w:rPr>
              <w:t>Volume of complaints - by month</w:t>
            </w:r>
          </w:p>
          <w:p w14:paraId="25A14E08" w14:textId="4512F1F2" w:rsidR="00B659ED" w:rsidRPr="0009691C" w:rsidRDefault="00DD3EC2" w:rsidP="00B659ED">
            <w:pPr>
              <w:jc w:val="center"/>
              <w:rPr>
                <w:rFonts w:ascii="Work Sans" w:hAnsi="Work Sans"/>
              </w:rPr>
            </w:pPr>
            <w:r w:rsidRPr="0009691C">
              <w:rPr>
                <w:noProof/>
              </w:rPr>
              <w:drawing>
                <wp:inline distT="0" distB="0" distL="0" distR="0" wp14:anchorId="02D8AB5B" wp14:editId="2B1C794E">
                  <wp:extent cx="6413500" cy="2881745"/>
                  <wp:effectExtent l="0" t="0" r="6350" b="13970"/>
                  <wp:docPr id="2137478862" name="Chart 1">
                    <a:extLst xmlns:a="http://schemas.openxmlformats.org/drawingml/2006/main">
                      <a:ext uri="{FF2B5EF4-FFF2-40B4-BE49-F238E27FC236}">
                        <a16:creationId xmlns:a16="http://schemas.microsoft.com/office/drawing/2014/main" id="{CAA28086-9CCA-41A5-9961-0B53E4502F4D}"/>
                      </a:ext>
                      <a:ext uri="{147F2762-F138-4A5C-976F-8EAC2B608ADB}">
                        <a16:predDERef xmlns:a16="http://schemas.microsoft.com/office/drawing/2014/main" pred="{E1465512-F0CF-ABB3-E123-47482FD2E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3B6212" w14:textId="77777777" w:rsidR="00B659ED" w:rsidRPr="0009691C" w:rsidRDefault="00B659ED" w:rsidP="00B659ED">
            <w:pPr>
              <w:rPr>
                <w:rFonts w:ascii="Work Sans" w:hAnsi="Work Sans"/>
              </w:rPr>
            </w:pPr>
          </w:p>
          <w:p w14:paraId="0CDA7340" w14:textId="77777777" w:rsidR="00CF10BB" w:rsidRPr="0009691C" w:rsidRDefault="00CF10BB" w:rsidP="0006229B">
            <w:pPr>
              <w:pStyle w:val="ListParagraph"/>
              <w:numPr>
                <w:ilvl w:val="1"/>
                <w:numId w:val="1"/>
              </w:numPr>
              <w:spacing w:before="60" w:after="120"/>
              <w:jc w:val="both"/>
              <w:rPr>
                <w:rFonts w:ascii="Work Sans" w:hAnsi="Work Sans"/>
              </w:rPr>
            </w:pPr>
            <w:r w:rsidRPr="0009691C">
              <w:rPr>
                <w:rFonts w:ascii="Work Sans" w:hAnsi="Work Sans"/>
              </w:rPr>
              <w:t>The graph above shows the number of complaints recorded by month compared with the two previous years. Volumes remained relatively stable across most months, indicating a consistent level of demand throughout the year. Complaints increased from September onwards, with the highest levels recorded in February (35) and January (32). While March saw a reduction to 27 complaints, the overall pattern shows a gradual build</w:t>
            </w:r>
            <w:r w:rsidRPr="0009691C">
              <w:rPr>
                <w:rFonts w:ascii="Cambria Math" w:hAnsi="Cambria Math" w:cs="Cambria Math"/>
              </w:rPr>
              <w:t>‑</w:t>
            </w:r>
            <w:r w:rsidRPr="0009691C">
              <w:rPr>
                <w:rFonts w:ascii="Work Sans" w:hAnsi="Work Sans"/>
              </w:rPr>
              <w:t>up towards year end rather than sharp, isolated spikes.</w:t>
            </w:r>
          </w:p>
          <w:p w14:paraId="7F8BA7CF" w14:textId="77777777" w:rsidR="00BB5A8E" w:rsidRPr="0009691C" w:rsidRDefault="00BB5A8E" w:rsidP="00BB5A8E">
            <w:pPr>
              <w:pStyle w:val="ListParagraph"/>
              <w:spacing w:before="60" w:after="120"/>
              <w:ind w:left="819"/>
              <w:contextualSpacing w:val="0"/>
              <w:jc w:val="both"/>
              <w:rPr>
                <w:rFonts w:ascii="Work Sans" w:hAnsi="Work Sans"/>
              </w:rPr>
            </w:pPr>
          </w:p>
          <w:p w14:paraId="76AD6E1D" w14:textId="67D55E33" w:rsidR="00CF10BB" w:rsidRPr="0009691C" w:rsidRDefault="00CF10BB" w:rsidP="00BB5A8E">
            <w:pPr>
              <w:pStyle w:val="ListParagraph"/>
              <w:spacing w:before="60" w:after="120"/>
              <w:ind w:left="819"/>
              <w:contextualSpacing w:val="0"/>
              <w:jc w:val="both"/>
              <w:rPr>
                <w:rFonts w:ascii="Work Sans" w:hAnsi="Work Sans"/>
                <w:b/>
                <w:bCs/>
              </w:rPr>
            </w:pPr>
            <w:r w:rsidRPr="0009691C">
              <w:rPr>
                <w:rFonts w:ascii="Work Sans" w:hAnsi="Work Sans"/>
              </w:rPr>
              <w:t>In 2025–26, there was greater month</w:t>
            </w:r>
            <w:r w:rsidRPr="0009691C">
              <w:rPr>
                <w:rFonts w:ascii="Cambria Math" w:hAnsi="Cambria Math" w:cs="Cambria Math"/>
              </w:rPr>
              <w:t>‑</w:t>
            </w:r>
            <w:r w:rsidRPr="0009691C">
              <w:rPr>
                <w:rFonts w:ascii="Work Sans" w:hAnsi="Work Sans"/>
              </w:rPr>
              <w:t>to</w:t>
            </w:r>
            <w:r w:rsidRPr="0009691C">
              <w:rPr>
                <w:rFonts w:ascii="Cambria Math" w:hAnsi="Cambria Math" w:cs="Cambria Math"/>
              </w:rPr>
              <w:t>‑</w:t>
            </w:r>
            <w:r w:rsidRPr="0009691C">
              <w:rPr>
                <w:rFonts w:ascii="Work Sans" w:hAnsi="Work Sans"/>
              </w:rPr>
              <w:t>month stability, with fewer pronounced peaks than those seen in 2024</w:t>
            </w:r>
            <w:r w:rsidRPr="0009691C">
              <w:rPr>
                <w:rFonts w:ascii="Work Sans" w:hAnsi="Work Sans" w:cs="Work Sans"/>
              </w:rPr>
              <w:t>–</w:t>
            </w:r>
            <w:r w:rsidRPr="0009691C">
              <w:rPr>
                <w:rFonts w:ascii="Work Sans" w:hAnsi="Work Sans"/>
              </w:rPr>
              <w:t>25.</w:t>
            </w:r>
            <w:r w:rsidR="002812C4" w:rsidRPr="0009691C">
              <w:rPr>
                <w:rFonts w:ascii="Work Sans" w:hAnsi="Work Sans"/>
              </w:rPr>
              <w:t xml:space="preserve">  This would suggest that complaint drivers and customer behaviour have remained broadly unchanged.</w:t>
            </w:r>
          </w:p>
          <w:p w14:paraId="5143334F" w14:textId="06F7E8CD" w:rsidR="00B659ED" w:rsidRPr="0009691C" w:rsidRDefault="00B659ED" w:rsidP="00761508">
            <w:pPr>
              <w:pStyle w:val="ListParagraph"/>
              <w:spacing w:before="60" w:after="120"/>
              <w:ind w:left="819"/>
              <w:contextualSpacing w:val="0"/>
              <w:jc w:val="both"/>
              <w:rPr>
                <w:rFonts w:ascii="Work Sans" w:hAnsi="Work Sans"/>
              </w:rPr>
            </w:pPr>
            <w:r w:rsidRPr="0009691C">
              <w:rPr>
                <w:rFonts w:ascii="Work Sans" w:hAnsi="Work Sans"/>
                <w:b/>
                <w:bCs/>
              </w:rPr>
              <w:t xml:space="preserve">Volumes of complaints – by quarter </w:t>
            </w:r>
          </w:p>
          <w:p w14:paraId="1A1449AC" w14:textId="144948E4" w:rsidR="00B659ED" w:rsidRPr="0009691C" w:rsidRDefault="00CA0D17" w:rsidP="00B659ED">
            <w:pPr>
              <w:jc w:val="center"/>
              <w:rPr>
                <w:rFonts w:ascii="Work Sans" w:hAnsi="Work Sans"/>
              </w:rPr>
            </w:pPr>
            <w:r w:rsidRPr="0009691C">
              <w:rPr>
                <w:noProof/>
              </w:rPr>
              <w:drawing>
                <wp:inline distT="0" distB="0" distL="0" distR="0" wp14:anchorId="5A7E1477" wp14:editId="01CD175B">
                  <wp:extent cx="6343650" cy="2673928"/>
                  <wp:effectExtent l="0" t="0" r="0" b="12700"/>
                  <wp:docPr id="88491759" name="Chart 1">
                    <a:extLst xmlns:a="http://schemas.openxmlformats.org/drawingml/2006/main">
                      <a:ext uri="{FF2B5EF4-FFF2-40B4-BE49-F238E27FC236}">
                        <a16:creationId xmlns:a16="http://schemas.microsoft.com/office/drawing/2014/main" id="{FE47B8E9-8F0B-BCD3-CE59-5C8847237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5B1B83" w14:textId="77777777" w:rsidR="00B659ED" w:rsidRPr="0009691C" w:rsidRDefault="00B659ED" w:rsidP="00B659ED">
            <w:pPr>
              <w:rPr>
                <w:rFonts w:ascii="Work Sans" w:hAnsi="Work Sans"/>
              </w:rPr>
            </w:pPr>
            <w:r w:rsidRPr="0009691C">
              <w:rPr>
                <w:rFonts w:ascii="Work Sans" w:hAnsi="Work Sans"/>
              </w:rPr>
              <w:t xml:space="preserve"> </w:t>
            </w:r>
          </w:p>
          <w:p w14:paraId="1D3B23C5" w14:textId="541DB14E" w:rsidR="00B659ED" w:rsidRPr="0009691C" w:rsidRDefault="00AF155B"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When tracked by quarter, complaints in 2025–26 show a steady upward trend across the year, with higher volumes recorded in Q4 (January–March). This reflects a typical seasonal increase during the winter months and follows a similar pattern to that seen in 2023–24.</w:t>
            </w:r>
          </w:p>
          <w:p w14:paraId="00D7F25E" w14:textId="2FC4F213" w:rsidR="00B659ED" w:rsidRPr="0009691C" w:rsidRDefault="0039454F"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Complaint volumes were lower in Q1 compared with previous years, and this continued into Q2, which is typical for this time of year. This period historically sees fewer complaints, likely influenced by improved weather conditions and the impact of the summer holiday period.</w:t>
            </w:r>
          </w:p>
          <w:p w14:paraId="7779C3A8"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Complaint Reviews - Stage 2 Volumes</w:t>
            </w:r>
          </w:p>
          <w:p w14:paraId="1553F720" w14:textId="77777777"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Complaints Policy contains two stages.  Stage 1, responding to a complaint, and stage 2, reviewing the response if a customer remains dissatisfied. </w:t>
            </w:r>
          </w:p>
          <w:p w14:paraId="513C45A4" w14:textId="03A1A5EE"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This year </w:t>
            </w:r>
            <w:r w:rsidR="00083492" w:rsidRPr="0009691C">
              <w:rPr>
                <w:rFonts w:ascii="Work Sans" w:hAnsi="Work Sans"/>
              </w:rPr>
              <w:t>41</w:t>
            </w:r>
            <w:r w:rsidRPr="0009691C">
              <w:rPr>
                <w:rFonts w:ascii="Work Sans" w:hAnsi="Work Sans"/>
              </w:rPr>
              <w:t xml:space="preserve"> complaints went to a stage 2 review, an increase from </w:t>
            </w:r>
            <w:r w:rsidR="00083492" w:rsidRPr="0009691C">
              <w:rPr>
                <w:rFonts w:ascii="Work Sans" w:hAnsi="Work Sans"/>
              </w:rPr>
              <w:t>2</w:t>
            </w:r>
            <w:r w:rsidRPr="0009691C">
              <w:rPr>
                <w:rFonts w:ascii="Work Sans" w:hAnsi="Work Sans"/>
              </w:rPr>
              <w:t xml:space="preserve">9 recorded in </w:t>
            </w:r>
            <w:r w:rsidR="00083492" w:rsidRPr="0009691C">
              <w:rPr>
                <w:rFonts w:ascii="Work Sans" w:hAnsi="Work Sans"/>
              </w:rPr>
              <w:t>2024/25</w:t>
            </w:r>
            <w:r w:rsidRPr="0009691C">
              <w:rPr>
                <w:rFonts w:ascii="Work Sans" w:hAnsi="Work Sans"/>
              </w:rPr>
              <w:t xml:space="preserve"> </w:t>
            </w:r>
            <w:r w:rsidR="00AE3626" w:rsidRPr="0009691C">
              <w:rPr>
                <w:rFonts w:ascii="Work Sans" w:hAnsi="Work Sans"/>
              </w:rPr>
              <w:t xml:space="preserve">and </w:t>
            </w:r>
            <w:r w:rsidR="00695387" w:rsidRPr="0009691C">
              <w:rPr>
                <w:rFonts w:ascii="Work Sans" w:hAnsi="Work Sans"/>
              </w:rPr>
              <w:t>19 2023/24</w:t>
            </w:r>
            <w:r w:rsidRPr="0009691C">
              <w:rPr>
                <w:rFonts w:ascii="Work Sans" w:hAnsi="Work Sans"/>
              </w:rPr>
              <w:t>.</w:t>
            </w:r>
            <w:r w:rsidR="00B35E34" w:rsidRPr="0009691C">
              <w:rPr>
                <w:rFonts w:ascii="Work Sans" w:hAnsi="Work Sans"/>
              </w:rPr>
              <w:t xml:space="preserve">  </w:t>
            </w:r>
            <w:r w:rsidR="00CF0CB3" w:rsidRPr="0009691C">
              <w:rPr>
                <w:rFonts w:ascii="Work Sans" w:hAnsi="Work Sans"/>
              </w:rPr>
              <w:t xml:space="preserve">This </w:t>
            </w:r>
            <w:r w:rsidR="00F7446D" w:rsidRPr="0009691C">
              <w:rPr>
                <w:rFonts w:ascii="Work Sans" w:hAnsi="Work Sans"/>
              </w:rPr>
              <w:t xml:space="preserve">represents </w:t>
            </w:r>
            <w:r w:rsidR="00CF0CB3" w:rsidRPr="0009691C">
              <w:rPr>
                <w:rFonts w:ascii="Work Sans" w:hAnsi="Work Sans"/>
              </w:rPr>
              <w:t xml:space="preserve">a </w:t>
            </w:r>
            <w:r w:rsidR="003D3E15" w:rsidRPr="0009691C">
              <w:rPr>
                <w:rFonts w:ascii="Work Sans" w:hAnsi="Work Sans"/>
              </w:rPr>
              <w:t>41%</w:t>
            </w:r>
            <w:r w:rsidR="00CF0CB3" w:rsidRPr="0009691C">
              <w:rPr>
                <w:rFonts w:ascii="Work Sans" w:hAnsi="Work Sans"/>
              </w:rPr>
              <w:t xml:space="preserve"> increase </w:t>
            </w:r>
            <w:r w:rsidR="004562D5" w:rsidRPr="0009691C">
              <w:rPr>
                <w:rFonts w:ascii="Work Sans" w:hAnsi="Work Sans"/>
              </w:rPr>
              <w:t>when compared with 2024/25.</w:t>
            </w:r>
          </w:p>
          <w:p w14:paraId="10487534" w14:textId="2B4B83B6"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This means </w:t>
            </w:r>
            <w:r w:rsidR="000D18BE" w:rsidRPr="0009691C">
              <w:rPr>
                <w:rFonts w:ascii="Work Sans" w:hAnsi="Work Sans"/>
              </w:rPr>
              <w:t>87</w:t>
            </w:r>
            <w:r w:rsidRPr="0009691C">
              <w:rPr>
                <w:rFonts w:ascii="Work Sans" w:hAnsi="Work Sans"/>
              </w:rPr>
              <w:t xml:space="preserve">% of complaints were resolved at stage 1, </w:t>
            </w:r>
            <w:r w:rsidR="00B829BB" w:rsidRPr="0009691C">
              <w:rPr>
                <w:rFonts w:ascii="Work Sans" w:hAnsi="Work Sans"/>
              </w:rPr>
              <w:t>275</w:t>
            </w:r>
            <w:r w:rsidRPr="0009691C">
              <w:rPr>
                <w:rFonts w:ascii="Work Sans" w:hAnsi="Work Sans"/>
              </w:rPr>
              <w:t xml:space="preserve"> complaints.</w:t>
            </w:r>
          </w:p>
          <w:p w14:paraId="46C51073" w14:textId="77777777" w:rsidR="00B659ED" w:rsidRPr="0009691C" w:rsidRDefault="00B659ED" w:rsidP="00B659ED">
            <w:pPr>
              <w:rPr>
                <w:rFonts w:ascii="Work Sans" w:hAnsi="Work Sans"/>
              </w:rPr>
            </w:pPr>
          </w:p>
          <w:p w14:paraId="1114ED56" w14:textId="00C16ABF" w:rsidR="00B659ED" w:rsidRPr="0009691C" w:rsidRDefault="00083492" w:rsidP="00B659ED">
            <w:pPr>
              <w:jc w:val="center"/>
              <w:rPr>
                <w:rFonts w:ascii="Work Sans" w:hAnsi="Work Sans"/>
              </w:rPr>
            </w:pPr>
            <w:r w:rsidRPr="0009691C">
              <w:rPr>
                <w:noProof/>
              </w:rPr>
              <w:drawing>
                <wp:inline distT="0" distB="0" distL="0" distR="0" wp14:anchorId="1728DED5" wp14:editId="15F942C3">
                  <wp:extent cx="6344285" cy="3186430"/>
                  <wp:effectExtent l="0" t="0" r="18415" b="13970"/>
                  <wp:docPr id="1550760548" name="Chart 1">
                    <a:extLst xmlns:a="http://schemas.openxmlformats.org/drawingml/2006/main">
                      <a:ext uri="{FF2B5EF4-FFF2-40B4-BE49-F238E27FC236}">
                        <a16:creationId xmlns:a16="http://schemas.microsoft.com/office/drawing/2014/main" id="{FE246CA0-0176-4614-A1D4-27EF344B0BC5}"/>
                      </a:ext>
                      <a:ext uri="{147F2762-F138-4A5C-976F-8EAC2B608ADB}">
                        <a16:predDERef xmlns:a16="http://schemas.microsoft.com/office/drawing/2014/main" pred="{B0370C90-B888-F7BD-2266-B50F1A088E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E1C2BF" w14:textId="1E348BB1"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The mode average of reviews per month is three</w:t>
            </w:r>
            <w:r w:rsidR="00911E4C" w:rsidRPr="0009691C">
              <w:rPr>
                <w:rFonts w:ascii="Work Sans" w:hAnsi="Work Sans"/>
              </w:rPr>
              <w:t>, consistent with 202</w:t>
            </w:r>
            <w:r w:rsidR="005769EC" w:rsidRPr="0009691C">
              <w:rPr>
                <w:rFonts w:ascii="Work Sans" w:hAnsi="Work Sans"/>
              </w:rPr>
              <w:t>4/25</w:t>
            </w:r>
            <w:r w:rsidRPr="0009691C">
              <w:rPr>
                <w:rFonts w:ascii="Work Sans" w:hAnsi="Work Sans"/>
              </w:rPr>
              <w:t xml:space="preserve">.  The outliers </w:t>
            </w:r>
            <w:r w:rsidR="00BD4370" w:rsidRPr="0009691C">
              <w:rPr>
                <w:rFonts w:ascii="Work Sans" w:hAnsi="Work Sans"/>
              </w:rPr>
              <w:t xml:space="preserve">with high volumes </w:t>
            </w:r>
            <w:r w:rsidRPr="0009691C">
              <w:rPr>
                <w:rFonts w:ascii="Work Sans" w:hAnsi="Work Sans"/>
              </w:rPr>
              <w:t xml:space="preserve">were </w:t>
            </w:r>
            <w:r w:rsidR="005769EC" w:rsidRPr="0009691C">
              <w:rPr>
                <w:rFonts w:ascii="Work Sans" w:hAnsi="Work Sans"/>
              </w:rPr>
              <w:t xml:space="preserve">February (6) </w:t>
            </w:r>
            <w:r w:rsidR="00BD4370" w:rsidRPr="0009691C">
              <w:rPr>
                <w:rFonts w:ascii="Work Sans" w:hAnsi="Work Sans"/>
              </w:rPr>
              <w:t xml:space="preserve">and March (7) </w:t>
            </w:r>
            <w:r w:rsidR="00B030FA" w:rsidRPr="0009691C">
              <w:rPr>
                <w:rFonts w:ascii="Work Sans" w:hAnsi="Work Sans"/>
              </w:rPr>
              <w:t>reflecting the wider seasonal increase seen towards year end</w:t>
            </w:r>
            <w:r w:rsidRPr="0009691C">
              <w:rPr>
                <w:rFonts w:ascii="Work Sans" w:hAnsi="Work Sans"/>
              </w:rPr>
              <w:t>.</w:t>
            </w:r>
          </w:p>
          <w:p w14:paraId="645F0D7A" w14:textId="4E9832FB" w:rsidR="00A811AE" w:rsidRPr="0009691C" w:rsidRDefault="008F71E6"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85% of complaints</w:t>
            </w:r>
            <w:r w:rsidR="00867647" w:rsidRPr="0009691C">
              <w:rPr>
                <w:rFonts w:ascii="Work Sans" w:hAnsi="Work Sans"/>
              </w:rPr>
              <w:t xml:space="preserve"> that went to review </w:t>
            </w:r>
            <w:r w:rsidR="0081401F" w:rsidRPr="0009691C">
              <w:rPr>
                <w:rFonts w:ascii="Work Sans" w:hAnsi="Work Sans"/>
              </w:rPr>
              <w:t>related to</w:t>
            </w:r>
            <w:r w:rsidR="00A811AE" w:rsidRPr="0009691C">
              <w:rPr>
                <w:rFonts w:ascii="Work Sans" w:hAnsi="Work Sans"/>
              </w:rPr>
              <w:t xml:space="preserve"> Property Services. This is expected, as the service accounts for </w:t>
            </w:r>
            <w:r w:rsidR="1E5AABBF" w:rsidRPr="0009691C">
              <w:rPr>
                <w:rFonts w:ascii="Work Sans" w:hAnsi="Work Sans"/>
              </w:rPr>
              <w:t>84%</w:t>
            </w:r>
            <w:r w:rsidR="00A811AE" w:rsidRPr="0009691C">
              <w:rPr>
                <w:rFonts w:ascii="Work Sans" w:hAnsi="Work Sans"/>
              </w:rPr>
              <w:t xml:space="preserve"> of all complaints. Key themes included delays in completing repairs, recurring D</w:t>
            </w:r>
            <w:r w:rsidR="0090487C">
              <w:rPr>
                <w:rFonts w:ascii="Work Sans" w:hAnsi="Work Sans"/>
              </w:rPr>
              <w:t xml:space="preserve">amp, </w:t>
            </w:r>
            <w:r w:rsidR="00A811AE" w:rsidRPr="0009691C">
              <w:rPr>
                <w:rFonts w:ascii="Work Sans" w:hAnsi="Work Sans"/>
              </w:rPr>
              <w:t>M</w:t>
            </w:r>
            <w:r w:rsidR="0090487C">
              <w:rPr>
                <w:rFonts w:ascii="Work Sans" w:hAnsi="Work Sans"/>
              </w:rPr>
              <w:t>ould and Condensation (DMC)</w:t>
            </w:r>
            <w:r w:rsidR="00A811AE" w:rsidRPr="0009691C">
              <w:rPr>
                <w:rFonts w:ascii="Work Sans" w:hAnsi="Work Sans"/>
              </w:rPr>
              <w:t xml:space="preserve"> cases where root causes were not effectively identified, concerns about the quality of workmanship, and disagreements with decisions not to replace certain components.</w:t>
            </w:r>
          </w:p>
          <w:p w14:paraId="151C9FDF" w14:textId="77777777" w:rsidR="00F7581A" w:rsidRPr="0009691C" w:rsidRDefault="00F7581A"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Issues relating to responsiveness and communication featured prominently across reviews.</w:t>
            </w:r>
          </w:p>
          <w:p w14:paraId="71F916AA" w14:textId="783E9D11" w:rsidR="00B659ED" w:rsidRPr="0009691C" w:rsidRDefault="006A32E2"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Customers typically requested a review because</w:t>
            </w:r>
            <w:r w:rsidR="00B659ED" w:rsidRPr="0009691C">
              <w:rPr>
                <w:rFonts w:ascii="Work Sans" w:hAnsi="Work Sans"/>
              </w:rPr>
              <w:t>:</w:t>
            </w:r>
          </w:p>
          <w:p w14:paraId="515BEF80" w14:textId="77777777" w:rsidR="00DA37EA" w:rsidRPr="0009691C" w:rsidRDefault="00DA37EA" w:rsidP="00DA37EA">
            <w:pPr>
              <w:pStyle w:val="ListParagraph"/>
              <w:numPr>
                <w:ilvl w:val="1"/>
                <w:numId w:val="6"/>
              </w:numPr>
              <w:jc w:val="both"/>
              <w:rPr>
                <w:rFonts w:ascii="Work Sans" w:hAnsi="Work Sans"/>
              </w:rPr>
            </w:pPr>
            <w:r w:rsidRPr="0009691C">
              <w:rPr>
                <w:rFonts w:ascii="Work Sans" w:hAnsi="Work Sans"/>
              </w:rPr>
              <w:t>They remained dissatisfied with the Stage One outcome</w:t>
            </w:r>
          </w:p>
          <w:p w14:paraId="4EFFDCB0" w14:textId="77777777" w:rsidR="00DA37EA" w:rsidRPr="0009691C" w:rsidRDefault="00DA37EA" w:rsidP="00DA37EA">
            <w:pPr>
              <w:pStyle w:val="ListParagraph"/>
              <w:numPr>
                <w:ilvl w:val="1"/>
                <w:numId w:val="6"/>
              </w:numPr>
              <w:jc w:val="both"/>
              <w:rPr>
                <w:rFonts w:ascii="Work Sans" w:hAnsi="Work Sans"/>
              </w:rPr>
            </w:pPr>
            <w:r w:rsidRPr="0009691C">
              <w:rPr>
                <w:rFonts w:ascii="Work Sans" w:hAnsi="Work Sans"/>
              </w:rPr>
              <w:t>They felt issues had gone on too long without resolution</w:t>
            </w:r>
          </w:p>
          <w:p w14:paraId="48C227F3" w14:textId="166213EC" w:rsidR="00DA37EA" w:rsidRPr="0009691C" w:rsidRDefault="00DA37EA" w:rsidP="00DA37EA">
            <w:pPr>
              <w:pStyle w:val="ListParagraph"/>
              <w:numPr>
                <w:ilvl w:val="1"/>
                <w:numId w:val="6"/>
              </w:numPr>
              <w:jc w:val="both"/>
              <w:rPr>
                <w:rFonts w:ascii="Work Sans" w:hAnsi="Work Sans"/>
              </w:rPr>
            </w:pPr>
            <w:r w:rsidRPr="0009691C">
              <w:rPr>
                <w:rFonts w:ascii="Work Sans" w:hAnsi="Work Sans"/>
              </w:rPr>
              <w:t xml:space="preserve">Compensation offered was seen as insufficient or </w:t>
            </w:r>
            <w:r w:rsidR="004D0F0A" w:rsidRPr="0009691C">
              <w:rPr>
                <w:rFonts w:ascii="Work Sans" w:hAnsi="Work Sans"/>
              </w:rPr>
              <w:t>not reflective of the impact experienced</w:t>
            </w:r>
          </w:p>
          <w:p w14:paraId="5B837137" w14:textId="77777777" w:rsidR="00DA37EA" w:rsidRPr="0009691C" w:rsidRDefault="00DA37EA" w:rsidP="00DA37EA">
            <w:pPr>
              <w:pStyle w:val="ListParagraph"/>
              <w:numPr>
                <w:ilvl w:val="1"/>
                <w:numId w:val="6"/>
              </w:numPr>
              <w:jc w:val="both"/>
              <w:rPr>
                <w:rFonts w:ascii="Work Sans" w:hAnsi="Work Sans"/>
              </w:rPr>
            </w:pPr>
            <w:r w:rsidRPr="0009691C">
              <w:rPr>
                <w:rFonts w:ascii="Work Sans" w:hAnsi="Work Sans"/>
              </w:rPr>
              <w:t>Decisions not to replace or upgrade items were disputed</w:t>
            </w:r>
          </w:p>
          <w:p w14:paraId="56E05B96" w14:textId="07102C5D" w:rsidR="00B659ED" w:rsidRDefault="0074699B" w:rsidP="0074699B">
            <w:pPr>
              <w:pStyle w:val="ListParagraph"/>
              <w:numPr>
                <w:ilvl w:val="1"/>
                <w:numId w:val="6"/>
              </w:numPr>
              <w:contextualSpacing w:val="0"/>
              <w:jc w:val="both"/>
              <w:rPr>
                <w:rFonts w:ascii="Work Sans" w:hAnsi="Work Sans"/>
              </w:rPr>
            </w:pPr>
            <w:r w:rsidRPr="0009691C">
              <w:rPr>
                <w:rFonts w:ascii="Work Sans" w:hAnsi="Work Sans"/>
              </w:rPr>
              <w:t>Perceived service failure, particularly in cases involving long</w:t>
            </w:r>
            <w:r w:rsidRPr="0009691C">
              <w:rPr>
                <w:rFonts w:ascii="Cambria Math" w:hAnsi="Cambria Math" w:cs="Cambria Math"/>
              </w:rPr>
              <w:t>‑</w:t>
            </w:r>
            <w:r w:rsidRPr="0009691C">
              <w:rPr>
                <w:rFonts w:ascii="Work Sans" w:hAnsi="Work Sans"/>
              </w:rPr>
              <w:t>standing or recurring issues</w:t>
            </w:r>
          </w:p>
          <w:p w14:paraId="5C957C68" w14:textId="77777777" w:rsidR="0090487C" w:rsidRPr="0009691C" w:rsidRDefault="0090487C" w:rsidP="0090487C">
            <w:pPr>
              <w:pStyle w:val="ListParagraph"/>
              <w:contextualSpacing w:val="0"/>
              <w:jc w:val="both"/>
              <w:rPr>
                <w:rFonts w:ascii="Work Sans" w:hAnsi="Work Sans"/>
              </w:rPr>
            </w:pPr>
          </w:p>
          <w:p w14:paraId="78266E6B"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Exclusions</w:t>
            </w:r>
          </w:p>
          <w:p w14:paraId="7566F268" w14:textId="3FF62FB6"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Our Complaints Policy describes when a complaint will be excluded from our complaints process, </w:t>
            </w:r>
            <w:r w:rsidRPr="00006D1A">
              <w:rPr>
                <w:rFonts w:ascii="Work Sans" w:hAnsi="Work Sans"/>
              </w:rPr>
              <w:t xml:space="preserve">point </w:t>
            </w:r>
            <w:r w:rsidR="00006D1A" w:rsidRPr="00006D1A">
              <w:rPr>
                <w:rFonts w:ascii="Work Sans" w:hAnsi="Work Sans"/>
              </w:rPr>
              <w:t>32</w:t>
            </w:r>
            <w:r w:rsidRPr="00006D1A">
              <w:rPr>
                <w:rFonts w:ascii="Work Sans" w:hAnsi="Work Sans"/>
              </w:rPr>
              <w:t>.</w:t>
            </w:r>
          </w:p>
          <w:p w14:paraId="00384490" w14:textId="2CA29BED" w:rsidR="00B131E5"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In </w:t>
            </w:r>
            <w:r w:rsidR="00D96A3D" w:rsidRPr="0009691C">
              <w:rPr>
                <w:rFonts w:ascii="Work Sans" w:hAnsi="Work Sans"/>
              </w:rPr>
              <w:t xml:space="preserve">2025/26, </w:t>
            </w:r>
            <w:r w:rsidR="002E167F" w:rsidRPr="0009691C">
              <w:rPr>
                <w:rFonts w:ascii="Work Sans" w:hAnsi="Work Sans"/>
              </w:rPr>
              <w:t>48 potential complaints were excluded</w:t>
            </w:r>
            <w:r w:rsidR="00265002">
              <w:rPr>
                <w:rFonts w:ascii="Work Sans" w:hAnsi="Work Sans"/>
              </w:rPr>
              <w:t xml:space="preserve"> this is an increase on 2024/25 where 9</w:t>
            </w:r>
            <w:r w:rsidR="00AE6A85">
              <w:rPr>
                <w:rFonts w:ascii="Work Sans" w:hAnsi="Work Sans"/>
              </w:rPr>
              <w:t xml:space="preserve"> potential complaints were excluded</w:t>
            </w:r>
            <w:r w:rsidR="002E167F" w:rsidRPr="0009691C">
              <w:rPr>
                <w:rFonts w:ascii="Work Sans" w:hAnsi="Work Sans"/>
              </w:rPr>
              <w:t>.</w:t>
            </w:r>
            <w:r w:rsidRPr="0009691C">
              <w:rPr>
                <w:rFonts w:ascii="Work Sans" w:hAnsi="Work Sans"/>
              </w:rPr>
              <w:t xml:space="preserve"> </w:t>
            </w:r>
            <w:r w:rsidR="00D80162">
              <w:rPr>
                <w:rFonts w:ascii="Work Sans" w:hAnsi="Work Sans"/>
              </w:rPr>
              <w:t xml:space="preserve"> This increase</w:t>
            </w:r>
            <w:r w:rsidR="00283B3E">
              <w:rPr>
                <w:rFonts w:ascii="Work Sans" w:hAnsi="Work Sans"/>
              </w:rPr>
              <w:t xml:space="preserve"> </w:t>
            </w:r>
            <w:r w:rsidR="00E3177B">
              <w:rPr>
                <w:rFonts w:ascii="Work Sans" w:hAnsi="Work Sans"/>
              </w:rPr>
              <w:t>can be attributed to better records,</w:t>
            </w:r>
            <w:r w:rsidR="00C6366D">
              <w:rPr>
                <w:rFonts w:ascii="Work Sans" w:hAnsi="Work Sans"/>
              </w:rPr>
              <w:t xml:space="preserve"> a more consistent approach and </w:t>
            </w:r>
            <w:r w:rsidR="00CC61F7">
              <w:rPr>
                <w:rFonts w:ascii="Work Sans" w:hAnsi="Work Sans"/>
              </w:rPr>
              <w:t>increased awareness and recording of service requests.</w:t>
            </w:r>
            <w:r w:rsidR="003F6ACA">
              <w:rPr>
                <w:rFonts w:ascii="Work Sans" w:hAnsi="Work Sans"/>
              </w:rPr>
              <w:t xml:space="preserve"> </w:t>
            </w:r>
          </w:p>
          <w:p w14:paraId="5891A04E" w14:textId="78C6E261" w:rsidR="00C56026" w:rsidRDefault="00C56026" w:rsidP="00C56026">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As described in the Complaints policy there are certain reasons why a complaint may be excluded, most exclusions relate to service requests or decisions taken by other organisations which South Yorkshire Housing Association has no control over.  </w:t>
            </w:r>
            <w:r>
              <w:rPr>
                <w:rFonts w:ascii="Work Sans" w:hAnsi="Work Sans"/>
              </w:rPr>
              <w:t xml:space="preserve">The graph below shows a </w:t>
            </w:r>
            <w:r w:rsidR="00006D1A">
              <w:rPr>
                <w:rFonts w:ascii="Work Sans" w:hAnsi="Work Sans"/>
              </w:rPr>
              <w:t>breakdown</w:t>
            </w:r>
            <w:r>
              <w:rPr>
                <w:rFonts w:ascii="Work Sans" w:hAnsi="Work Sans"/>
              </w:rPr>
              <w:t xml:space="preserve"> of the reasons for exclusion</w:t>
            </w:r>
          </w:p>
          <w:p w14:paraId="101611E5" w14:textId="08ED1CFB" w:rsidR="00143BE9" w:rsidRDefault="003F6ACA" w:rsidP="003F6ACA">
            <w:pPr>
              <w:spacing w:before="60" w:after="120"/>
              <w:jc w:val="both"/>
              <w:rPr>
                <w:rFonts w:ascii="Work Sans" w:hAnsi="Work Sans"/>
              </w:rPr>
            </w:pPr>
            <w:r>
              <w:rPr>
                <w:noProof/>
              </w:rPr>
              <w:drawing>
                <wp:inline distT="0" distB="0" distL="0" distR="0" wp14:anchorId="0B7D8282" wp14:editId="4BB65333">
                  <wp:extent cx="6200775" cy="3038475"/>
                  <wp:effectExtent l="0" t="0" r="9525" b="9525"/>
                  <wp:docPr id="1255847777" name="Chart 1">
                    <a:extLst xmlns:a="http://schemas.openxmlformats.org/drawingml/2006/main">
                      <a:ext uri="{FF2B5EF4-FFF2-40B4-BE49-F238E27FC236}">
                        <a16:creationId xmlns:a16="http://schemas.microsoft.com/office/drawing/2014/main" id="{11B89D57-13ED-316F-D981-8967A2DA7D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97C7F1" w14:textId="77777777" w:rsidR="003F6ACA" w:rsidRPr="003F6ACA" w:rsidRDefault="003F6ACA" w:rsidP="003F6ACA">
            <w:pPr>
              <w:spacing w:before="60" w:after="120"/>
              <w:jc w:val="both"/>
              <w:rPr>
                <w:rFonts w:ascii="Work Sans" w:hAnsi="Work Sans"/>
              </w:rPr>
            </w:pPr>
          </w:p>
          <w:p w14:paraId="03C8E009" w14:textId="464C4B1D" w:rsidR="008671DE" w:rsidRPr="00D72313" w:rsidRDefault="00FF420A" w:rsidP="0006229B">
            <w:pPr>
              <w:pStyle w:val="ListParagraph"/>
              <w:numPr>
                <w:ilvl w:val="1"/>
                <w:numId w:val="1"/>
              </w:numPr>
              <w:spacing w:before="60" w:after="120"/>
              <w:ind w:left="794" w:hanging="794"/>
              <w:contextualSpacing w:val="0"/>
              <w:jc w:val="both"/>
              <w:rPr>
                <w:rFonts w:ascii="Work Sans" w:hAnsi="Work Sans"/>
                <w:i/>
              </w:rPr>
            </w:pPr>
            <w:r w:rsidRPr="00D72313">
              <w:rPr>
                <w:rFonts w:ascii="Work Sans" w:hAnsi="Work Sans"/>
              </w:rPr>
              <w:t>The Housing Om</w:t>
            </w:r>
            <w:r w:rsidR="00B611C3" w:rsidRPr="00D72313">
              <w:rPr>
                <w:rFonts w:ascii="Work Sans" w:hAnsi="Work Sans"/>
              </w:rPr>
              <w:t xml:space="preserve">budsman Guidance </w:t>
            </w:r>
            <w:r w:rsidR="0090487C" w:rsidRPr="00D72313">
              <w:rPr>
                <w:rFonts w:ascii="Work Sans" w:hAnsi="Work Sans"/>
              </w:rPr>
              <w:t>is that</w:t>
            </w:r>
            <w:r w:rsidR="00B611C3" w:rsidRPr="00D72313">
              <w:rPr>
                <w:rFonts w:ascii="Work Sans" w:hAnsi="Work Sans"/>
              </w:rPr>
              <w:t xml:space="preserve"> ‘</w:t>
            </w:r>
            <w:r w:rsidR="00B611C3" w:rsidRPr="00D72313">
              <w:rPr>
                <w:rFonts w:ascii="Work Sans" w:hAnsi="Work Sans"/>
                <w:i/>
                <w:iCs/>
              </w:rPr>
              <w:t xml:space="preserve">Landlords must recognise the difference between a </w:t>
            </w:r>
            <w:r w:rsidR="00B611C3" w:rsidRPr="00D72313">
              <w:rPr>
                <w:rFonts w:ascii="Work Sans" w:hAnsi="Work Sans"/>
                <w:b/>
                <w:bCs/>
                <w:i/>
                <w:iCs/>
              </w:rPr>
              <w:t xml:space="preserve">service request </w:t>
            </w:r>
            <w:r w:rsidR="00B611C3" w:rsidRPr="00D72313">
              <w:rPr>
                <w:rFonts w:ascii="Work Sans" w:hAnsi="Work Sans"/>
                <w:i/>
                <w:iCs/>
              </w:rPr>
              <w:t xml:space="preserve">and a </w:t>
            </w:r>
            <w:r w:rsidR="00B611C3" w:rsidRPr="00D72313">
              <w:rPr>
                <w:rFonts w:ascii="Work Sans" w:hAnsi="Work Sans"/>
                <w:b/>
                <w:bCs/>
                <w:i/>
                <w:iCs/>
              </w:rPr>
              <w:t>complaint</w:t>
            </w:r>
            <w:r w:rsidR="00B611C3" w:rsidRPr="00D72313">
              <w:rPr>
                <w:rFonts w:ascii="Work Sans" w:hAnsi="Work Sans"/>
                <w:i/>
                <w:iCs/>
              </w:rPr>
              <w:t>. This must be set out in their complaints policy. A service request is a request from a resident to the landlord requiring action to be taken to put something right. Service requests are not complaints, but must be recorded, monitored and reviewed regularly</w:t>
            </w:r>
            <w:r w:rsidR="00C17345" w:rsidRPr="00D72313">
              <w:rPr>
                <w:rFonts w:ascii="Work Sans" w:hAnsi="Work Sans"/>
                <w:i/>
                <w:iCs/>
              </w:rPr>
              <w:t>’</w:t>
            </w:r>
            <w:r w:rsidR="00B611C3" w:rsidRPr="00D72313">
              <w:rPr>
                <w:rFonts w:ascii="Work Sans" w:hAnsi="Work Sans"/>
                <w:i/>
                <w:iCs/>
              </w:rPr>
              <w:t xml:space="preserve">. </w:t>
            </w:r>
          </w:p>
          <w:p w14:paraId="6FBAB215" w14:textId="6E757FA2"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All exclusions are recorded by </w:t>
            </w:r>
            <w:r w:rsidR="0032673B" w:rsidRPr="0009691C">
              <w:rPr>
                <w:rFonts w:ascii="Work Sans" w:hAnsi="Work Sans"/>
              </w:rPr>
              <w:t>the</w:t>
            </w:r>
            <w:r w:rsidRPr="0009691C">
              <w:rPr>
                <w:rFonts w:ascii="Work Sans" w:hAnsi="Work Sans"/>
              </w:rPr>
              <w:t xml:space="preserve"> </w:t>
            </w:r>
            <w:r w:rsidR="00A1622A" w:rsidRPr="0009691C">
              <w:rPr>
                <w:rFonts w:ascii="Work Sans" w:hAnsi="Work Sans"/>
              </w:rPr>
              <w:t>C</w:t>
            </w:r>
            <w:r w:rsidRPr="0009691C">
              <w:rPr>
                <w:rFonts w:ascii="Work Sans" w:hAnsi="Work Sans"/>
              </w:rPr>
              <w:t xml:space="preserve">ustomer </w:t>
            </w:r>
            <w:r w:rsidR="00A1622A" w:rsidRPr="0009691C">
              <w:rPr>
                <w:rFonts w:ascii="Work Sans" w:hAnsi="Work Sans"/>
              </w:rPr>
              <w:t>E</w:t>
            </w:r>
            <w:r w:rsidRPr="0009691C">
              <w:rPr>
                <w:rFonts w:ascii="Work Sans" w:hAnsi="Work Sans"/>
              </w:rPr>
              <w:t xml:space="preserve">xperience </w:t>
            </w:r>
            <w:r w:rsidR="00A1622A" w:rsidRPr="0009691C">
              <w:rPr>
                <w:rFonts w:ascii="Work Sans" w:hAnsi="Work Sans"/>
              </w:rPr>
              <w:t>T</w:t>
            </w:r>
            <w:r w:rsidRPr="0009691C">
              <w:rPr>
                <w:rFonts w:ascii="Work Sans" w:hAnsi="Work Sans"/>
              </w:rPr>
              <w:t>eam and the reasons why a complaint has been excluded communicated to the complainant.</w:t>
            </w:r>
            <w:r w:rsidR="00CE3CF5">
              <w:rPr>
                <w:rFonts w:ascii="Work Sans" w:hAnsi="Work Sans"/>
              </w:rPr>
              <w:t xml:space="preserve">  </w:t>
            </w:r>
            <w:r w:rsidR="00D72313">
              <w:rPr>
                <w:rFonts w:ascii="Work Sans" w:hAnsi="Work Sans"/>
              </w:rPr>
              <w:t>We will review service request quarterly to monitor any hotspots.</w:t>
            </w:r>
          </w:p>
          <w:p w14:paraId="684ED05B"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Complaints relative to the size of the landlord</w:t>
            </w:r>
          </w:p>
          <w:p w14:paraId="329C0F4C" w14:textId="7D2BB692" w:rsidR="00B659ED" w:rsidRPr="0009691C" w:rsidRDefault="00651EDC" w:rsidP="0006229B">
            <w:pPr>
              <w:pStyle w:val="ListParagraph"/>
              <w:numPr>
                <w:ilvl w:val="1"/>
                <w:numId w:val="1"/>
              </w:numPr>
              <w:spacing w:before="60" w:after="120"/>
              <w:ind w:left="794" w:hanging="794"/>
              <w:contextualSpacing w:val="0"/>
              <w:jc w:val="both"/>
              <w:rPr>
                <w:rFonts w:ascii="Work Sans" w:hAnsi="Work Sans"/>
              </w:rPr>
            </w:pPr>
            <w:r w:rsidRPr="00651EDC">
              <w:rPr>
                <w:rFonts w:ascii="Work Sans" w:hAnsi="Work Sans"/>
              </w:rPr>
              <w:t>Performance for 2025/26 (Low-Cost Rental Accommodation) is 63.6 complaints per 1,000 homes at Stage 1 and 8.3 reviews per 1,000 homes at Stage 2. Based on 2024/25 TSM benchmark data, our Stage 1 performance is above the landlord median of 53.5 but remains within the upper quartile range (72.2), while Stage 2 performance is aligned with the landlord median of 8.3 and below the upper quartile of 13.6, indicating broadly comparable performance to the sector.</w:t>
            </w:r>
            <w:r w:rsidR="008E6E20">
              <w:t xml:space="preserve"> </w:t>
            </w:r>
            <w:r w:rsidR="008E6E20" w:rsidRPr="008E6E20">
              <w:rPr>
                <w:rFonts w:ascii="Work Sans" w:hAnsi="Work Sans"/>
              </w:rPr>
              <w:t xml:space="preserve">We are waiting for </w:t>
            </w:r>
            <w:proofErr w:type="spellStart"/>
            <w:r w:rsidR="008E6E20" w:rsidRPr="008E6E20">
              <w:rPr>
                <w:rFonts w:ascii="Work Sans" w:hAnsi="Work Sans"/>
              </w:rPr>
              <w:t>HouseMark</w:t>
            </w:r>
            <w:proofErr w:type="spellEnd"/>
            <w:r w:rsidR="008E6E20" w:rsidRPr="008E6E20">
              <w:rPr>
                <w:rFonts w:ascii="Work Sans" w:hAnsi="Work Sans"/>
              </w:rPr>
              <w:t xml:space="preserve"> and the RSH to share aggregated year-end data to compare with other social landlords for this financial year</w:t>
            </w:r>
            <w:r w:rsidR="0014118A">
              <w:rPr>
                <w:rFonts w:ascii="Work Sans" w:hAnsi="Work Sans"/>
              </w:rPr>
              <w:t xml:space="preserve">. </w:t>
            </w:r>
          </w:p>
          <w:p w14:paraId="2803A117"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 xml:space="preserve">Response Times </w:t>
            </w:r>
          </w:p>
          <w:p w14:paraId="2E47B7F6" w14:textId="5C2B4D24"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SYHA’s target is to respond to 90% of complaints within 10 working days (14 calendar days) or by a mutually agreed extended deadline.  If more time is needed to respond to a complaint it is referred to as an extension.  In</w:t>
            </w:r>
            <w:r w:rsidR="00006D1A">
              <w:rPr>
                <w:rFonts w:ascii="Work Sans" w:hAnsi="Work Sans"/>
              </w:rPr>
              <w:t xml:space="preserve"> our IT Housing Management System - </w:t>
            </w:r>
            <w:proofErr w:type="spellStart"/>
            <w:r w:rsidR="00006D1A" w:rsidRPr="0009691C">
              <w:rPr>
                <w:rFonts w:ascii="Work Sans" w:hAnsi="Work Sans"/>
              </w:rPr>
              <w:t>Cx</w:t>
            </w:r>
            <w:proofErr w:type="spellEnd"/>
            <w:r w:rsidRPr="0009691C">
              <w:rPr>
                <w:rFonts w:ascii="Work Sans" w:hAnsi="Work Sans"/>
              </w:rPr>
              <w:t xml:space="preserve">, </w:t>
            </w:r>
            <w:r w:rsidR="00006D1A">
              <w:rPr>
                <w:rFonts w:ascii="Work Sans" w:hAnsi="Work Sans"/>
              </w:rPr>
              <w:t xml:space="preserve">that we </w:t>
            </w:r>
            <w:r w:rsidRPr="0009691C">
              <w:rPr>
                <w:rFonts w:ascii="Work Sans" w:hAnsi="Work Sans"/>
              </w:rPr>
              <w:t xml:space="preserve">use to record and manage complaints, this is known as ‘hold’. The Complaint Handling Code offers guidance on the use of extensions and valid reasons.  </w:t>
            </w:r>
          </w:p>
          <w:p w14:paraId="10693296" w14:textId="77777777" w:rsidR="00B659ED" w:rsidRPr="0009691C" w:rsidRDefault="00B659ED" w:rsidP="0006229B">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Customer Experience team has worked closely with complaint owners to make sure good practice is followed to reduce the need for an extension. For example, taking prompt action when a complaint is assigned, talking with the customer at the first opportunity to gain a clearer understanding of the issue/s and agreeing the actions to resolve. </w:t>
            </w:r>
          </w:p>
          <w:p w14:paraId="2EC64C48" w14:textId="2B1F7787" w:rsidR="0019179A"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Due to reporting issues, from 1 April 2024, the Customer Experience Team have monitored the use of extensions.  Currently extensions are tracked outside of </w:t>
            </w:r>
            <w:proofErr w:type="spellStart"/>
            <w:r w:rsidRPr="0009691C">
              <w:rPr>
                <w:rFonts w:ascii="Work Sans" w:hAnsi="Work Sans"/>
              </w:rPr>
              <w:t>Cx</w:t>
            </w:r>
            <w:proofErr w:type="spellEnd"/>
            <w:r w:rsidRPr="0009691C">
              <w:rPr>
                <w:rFonts w:ascii="Work Sans" w:hAnsi="Work Sans"/>
              </w:rPr>
              <w:t xml:space="preserve"> to ensure they comply with the Complaint Handling </w:t>
            </w:r>
            <w:r w:rsidR="00192113" w:rsidRPr="0009691C">
              <w:rPr>
                <w:rFonts w:ascii="Work Sans" w:hAnsi="Work Sans"/>
              </w:rPr>
              <w:t>Code,</w:t>
            </w:r>
            <w:r w:rsidRPr="0009691C">
              <w:rPr>
                <w:rFonts w:ascii="Work Sans" w:hAnsi="Work Sans"/>
              </w:rPr>
              <w:t xml:space="preserve"> and we have a robust record. To support compliance, we have introduced the requirement that all extensions must be signed off by a </w:t>
            </w:r>
            <w:r w:rsidR="00A218A9" w:rsidRPr="0009691C">
              <w:rPr>
                <w:rFonts w:ascii="Work Sans" w:hAnsi="Work Sans"/>
              </w:rPr>
              <w:t xml:space="preserve">Head of Service or </w:t>
            </w:r>
            <w:r w:rsidR="000D57CB" w:rsidRPr="0009691C">
              <w:rPr>
                <w:rFonts w:ascii="Work Sans" w:hAnsi="Work Sans"/>
              </w:rPr>
              <w:t>D</w:t>
            </w:r>
            <w:r w:rsidRPr="0009691C">
              <w:rPr>
                <w:rFonts w:ascii="Work Sans" w:hAnsi="Work Sans"/>
              </w:rPr>
              <w:t>irector.</w:t>
            </w:r>
          </w:p>
          <w:p w14:paraId="19AF5951" w14:textId="239CBAE5" w:rsidR="004364E9" w:rsidRPr="0019179A" w:rsidRDefault="004364E9" w:rsidP="0019179A">
            <w:pPr>
              <w:pStyle w:val="ListParagraph"/>
              <w:numPr>
                <w:ilvl w:val="1"/>
                <w:numId w:val="1"/>
              </w:numPr>
              <w:spacing w:before="60" w:after="120"/>
              <w:ind w:left="794" w:hanging="794"/>
              <w:contextualSpacing w:val="0"/>
              <w:jc w:val="both"/>
              <w:rPr>
                <w:rFonts w:ascii="Work Sans" w:hAnsi="Work Sans"/>
              </w:rPr>
            </w:pPr>
            <w:r w:rsidRPr="0019179A">
              <w:rPr>
                <w:rFonts w:ascii="Work Sans" w:hAnsi="Work Sans"/>
              </w:rPr>
              <w:t xml:space="preserve">As part of the </w:t>
            </w:r>
            <w:proofErr w:type="spellStart"/>
            <w:r w:rsidRPr="0019179A">
              <w:rPr>
                <w:rFonts w:ascii="Work Sans" w:hAnsi="Work Sans"/>
              </w:rPr>
              <w:t>C</w:t>
            </w:r>
            <w:r w:rsidR="0014118A">
              <w:rPr>
                <w:rFonts w:ascii="Work Sans" w:hAnsi="Work Sans"/>
              </w:rPr>
              <w:t>x</w:t>
            </w:r>
            <w:proofErr w:type="spellEnd"/>
            <w:r w:rsidRPr="0019179A">
              <w:rPr>
                <w:rFonts w:ascii="Work Sans" w:hAnsi="Work Sans"/>
              </w:rPr>
              <w:t xml:space="preserve"> improvement work, a new approach to managing extensions within </w:t>
            </w:r>
            <w:proofErr w:type="spellStart"/>
            <w:r w:rsidRPr="0019179A">
              <w:rPr>
                <w:rFonts w:ascii="Work Sans" w:hAnsi="Work Sans"/>
              </w:rPr>
              <w:t>C</w:t>
            </w:r>
            <w:r w:rsidR="0014118A">
              <w:rPr>
                <w:rFonts w:ascii="Work Sans" w:hAnsi="Work Sans"/>
              </w:rPr>
              <w:t>x</w:t>
            </w:r>
            <w:proofErr w:type="spellEnd"/>
            <w:r w:rsidRPr="0019179A">
              <w:rPr>
                <w:rFonts w:ascii="Work Sans" w:hAnsi="Work Sans"/>
              </w:rPr>
              <w:t xml:space="preserve"> is currently being piloted to assess its effectiveness and impact on reporting. We anticipate clearer tracking during 2026</w:t>
            </w:r>
            <w:r w:rsidR="0019179A" w:rsidRPr="0019179A">
              <w:rPr>
                <w:rFonts w:ascii="Work Sans" w:hAnsi="Work Sans"/>
              </w:rPr>
              <w:t>/27</w:t>
            </w:r>
            <w:r w:rsidRPr="0019179A">
              <w:rPr>
                <w:rFonts w:ascii="Work Sans" w:hAnsi="Work Sans"/>
              </w:rPr>
              <w:t xml:space="preserve">. </w:t>
            </w:r>
          </w:p>
          <w:p w14:paraId="45A12FA6" w14:textId="313659F7" w:rsidR="00B659ED" w:rsidRPr="0009691C" w:rsidRDefault="00B659ED" w:rsidP="00B659ED">
            <w:pPr>
              <w:jc w:val="center"/>
              <w:rPr>
                <w:rFonts w:ascii="Work Sans" w:hAnsi="Work Sans"/>
              </w:rPr>
            </w:pPr>
          </w:p>
          <w:p w14:paraId="53ADD3D0" w14:textId="11D3B4DE" w:rsidR="00B659ED" w:rsidRPr="0009691C" w:rsidRDefault="007067A9" w:rsidP="00B659ED">
            <w:pPr>
              <w:spacing w:after="160"/>
              <w:ind w:right="403"/>
              <w:rPr>
                <w:rFonts w:ascii="Work Sans" w:hAnsi="Work Sans"/>
              </w:rPr>
            </w:pPr>
            <w:r w:rsidRPr="0009691C">
              <w:rPr>
                <w:noProof/>
              </w:rPr>
              <w:drawing>
                <wp:inline distT="0" distB="0" distL="0" distR="0" wp14:anchorId="01CE5396" wp14:editId="3F9872E4">
                  <wp:extent cx="6254750" cy="3562350"/>
                  <wp:effectExtent l="0" t="0" r="12700" b="0"/>
                  <wp:docPr id="679307266" name="Chart 1">
                    <a:extLst xmlns:a="http://schemas.openxmlformats.org/drawingml/2006/main">
                      <a:ext uri="{FF2B5EF4-FFF2-40B4-BE49-F238E27FC236}">
                        <a16:creationId xmlns:a16="http://schemas.microsoft.com/office/drawing/2014/main" id="{EFC6D55E-69DB-4BF2-B388-1F65C375DE0D}"/>
                      </a:ext>
                      <a:ext uri="{147F2762-F138-4A5C-976F-8EAC2B608ADB}">
                        <a16:predDERef xmlns:a16="http://schemas.microsoft.com/office/drawing/2014/main" pred="{D253CA42-F35A-4DDC-AA8B-FB5A0A491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05DD59" w14:textId="77777777" w:rsidR="00D72313" w:rsidRDefault="00D72313" w:rsidP="00D72313">
            <w:pPr>
              <w:pStyle w:val="ListParagraph"/>
              <w:spacing w:before="60" w:after="120"/>
              <w:ind w:left="819"/>
              <w:contextualSpacing w:val="0"/>
              <w:jc w:val="both"/>
              <w:rPr>
                <w:rFonts w:ascii="Work Sans" w:hAnsi="Work Sans"/>
              </w:rPr>
            </w:pPr>
          </w:p>
          <w:p w14:paraId="4EA3AA9A" w14:textId="1C933931" w:rsidR="00B659ED" w:rsidRPr="0009691C" w:rsidRDefault="00B659ED" w:rsidP="0019179A">
            <w:pPr>
              <w:pStyle w:val="ListParagraph"/>
              <w:numPr>
                <w:ilvl w:val="1"/>
                <w:numId w:val="1"/>
              </w:numPr>
              <w:spacing w:before="60" w:after="120"/>
              <w:contextualSpacing w:val="0"/>
              <w:jc w:val="both"/>
              <w:rPr>
                <w:rFonts w:ascii="Work Sans" w:hAnsi="Work Sans"/>
              </w:rPr>
            </w:pPr>
            <w:r w:rsidRPr="0009691C">
              <w:rPr>
                <w:rFonts w:ascii="Work Sans" w:hAnsi="Work Sans"/>
              </w:rPr>
              <w:t>This table offers an overview of performance excluding and including extension time.</w:t>
            </w:r>
            <w:r w:rsidR="00DA453C" w:rsidRPr="0009691C">
              <w:rPr>
                <w:rFonts w:ascii="Work Sans" w:hAnsi="Work Sans"/>
              </w:rPr>
              <w:t xml:space="preserve">  Note, the number of responses is not the same figure as the number of complaints/reviews received in the year</w:t>
            </w:r>
            <w:r w:rsidR="000F7771" w:rsidRPr="0009691C">
              <w:rPr>
                <w:rFonts w:ascii="Work Sans" w:hAnsi="Work Sans"/>
              </w:rPr>
              <w:t>. S</w:t>
            </w:r>
            <w:r w:rsidR="00DA453C" w:rsidRPr="0009691C">
              <w:rPr>
                <w:rFonts w:ascii="Work Sans" w:hAnsi="Work Sans"/>
              </w:rPr>
              <w:t>ome responses will be from complaints/review received in 202</w:t>
            </w:r>
            <w:r w:rsidR="00847024" w:rsidRPr="0009691C">
              <w:rPr>
                <w:rFonts w:ascii="Work Sans" w:hAnsi="Work Sans"/>
              </w:rPr>
              <w:t>4</w:t>
            </w:r>
            <w:r w:rsidR="00DA453C" w:rsidRPr="0009691C">
              <w:rPr>
                <w:rFonts w:ascii="Work Sans" w:hAnsi="Work Sans"/>
              </w:rPr>
              <w:t>/2</w:t>
            </w:r>
            <w:r w:rsidR="00847024" w:rsidRPr="0009691C">
              <w:rPr>
                <w:rFonts w:ascii="Work Sans" w:hAnsi="Work Sans"/>
              </w:rPr>
              <w:t>5</w:t>
            </w:r>
            <w:r w:rsidR="00DA453C" w:rsidRPr="0009691C">
              <w:rPr>
                <w:rFonts w:ascii="Work Sans" w:hAnsi="Work Sans"/>
              </w:rPr>
              <w:t>.</w:t>
            </w:r>
          </w:p>
          <w:tbl>
            <w:tblPr>
              <w:tblW w:w="6620" w:type="dxa"/>
              <w:tblInd w:w="872" w:type="dxa"/>
              <w:tblLook w:val="04A0" w:firstRow="1" w:lastRow="0" w:firstColumn="1" w:lastColumn="0" w:noHBand="0" w:noVBand="1"/>
            </w:tblPr>
            <w:tblGrid>
              <w:gridCol w:w="4140"/>
              <w:gridCol w:w="1240"/>
              <w:gridCol w:w="1240"/>
            </w:tblGrid>
            <w:tr w:rsidR="00F877DE" w:rsidRPr="0009691C" w14:paraId="78644CDD" w14:textId="77777777" w:rsidTr="00F877DE">
              <w:trPr>
                <w:trHeight w:val="650"/>
              </w:trPr>
              <w:tc>
                <w:tcPr>
                  <w:tcW w:w="4140" w:type="dxa"/>
                  <w:tcBorders>
                    <w:top w:val="single" w:sz="8" w:space="0" w:color="auto"/>
                    <w:left w:val="single" w:sz="8" w:space="0" w:color="auto"/>
                    <w:bottom w:val="nil"/>
                    <w:right w:val="single" w:sz="8" w:space="0" w:color="000000"/>
                  </w:tcBorders>
                  <w:shd w:val="clear" w:color="000000" w:fill="EEECE1"/>
                  <w:noWrap/>
                  <w:hideMark/>
                </w:tcPr>
                <w:p w14:paraId="6140DA48"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Response Times</w:t>
                  </w:r>
                </w:p>
              </w:tc>
              <w:tc>
                <w:tcPr>
                  <w:tcW w:w="1240" w:type="dxa"/>
                  <w:tcBorders>
                    <w:top w:val="single" w:sz="8" w:space="0" w:color="auto"/>
                    <w:left w:val="nil"/>
                    <w:bottom w:val="nil"/>
                    <w:right w:val="single" w:sz="8" w:space="0" w:color="auto"/>
                  </w:tcBorders>
                  <w:shd w:val="clear" w:color="000000" w:fill="EEECE1"/>
                  <w:hideMark/>
                </w:tcPr>
                <w:p w14:paraId="1002ED73"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Number of responses</w:t>
                  </w:r>
                </w:p>
              </w:tc>
              <w:tc>
                <w:tcPr>
                  <w:tcW w:w="1240" w:type="dxa"/>
                  <w:tcBorders>
                    <w:top w:val="single" w:sz="8" w:space="0" w:color="auto"/>
                    <w:left w:val="nil"/>
                    <w:bottom w:val="nil"/>
                    <w:right w:val="single" w:sz="8" w:space="0" w:color="auto"/>
                  </w:tcBorders>
                  <w:shd w:val="clear" w:color="000000" w:fill="EEECE1"/>
                  <w:hideMark/>
                </w:tcPr>
                <w:p w14:paraId="5B5C20D4"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 of total</w:t>
                  </w:r>
                </w:p>
              </w:tc>
            </w:tr>
            <w:tr w:rsidR="00F877DE" w:rsidRPr="0009691C" w14:paraId="56197862" w14:textId="77777777" w:rsidTr="00F877DE">
              <w:trPr>
                <w:trHeight w:val="330"/>
              </w:trPr>
              <w:tc>
                <w:tcPr>
                  <w:tcW w:w="4140" w:type="dxa"/>
                  <w:tcBorders>
                    <w:top w:val="single" w:sz="8" w:space="0" w:color="auto"/>
                    <w:left w:val="single" w:sz="8" w:space="0" w:color="auto"/>
                    <w:bottom w:val="single" w:sz="8" w:space="0" w:color="auto"/>
                    <w:right w:val="nil"/>
                  </w:tcBorders>
                  <w:shd w:val="clear" w:color="000000" w:fill="EEECE1"/>
                  <w:hideMark/>
                </w:tcPr>
                <w:p w14:paraId="3AE5B10C"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Complaint Response (stage 1)</w:t>
                  </w:r>
                </w:p>
              </w:tc>
              <w:tc>
                <w:tcPr>
                  <w:tcW w:w="1240" w:type="dxa"/>
                  <w:tcBorders>
                    <w:top w:val="single" w:sz="8" w:space="0" w:color="auto"/>
                    <w:left w:val="single" w:sz="8" w:space="0" w:color="auto"/>
                    <w:bottom w:val="single" w:sz="8" w:space="0" w:color="auto"/>
                    <w:right w:val="single" w:sz="8" w:space="0" w:color="auto"/>
                  </w:tcBorders>
                  <w:shd w:val="clear" w:color="000000" w:fill="EEECE1"/>
                  <w:hideMark/>
                </w:tcPr>
                <w:p w14:paraId="18C5EF74"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312</w:t>
                  </w:r>
                </w:p>
              </w:tc>
              <w:tc>
                <w:tcPr>
                  <w:tcW w:w="1240" w:type="dxa"/>
                  <w:tcBorders>
                    <w:top w:val="single" w:sz="8" w:space="0" w:color="auto"/>
                    <w:left w:val="nil"/>
                    <w:bottom w:val="single" w:sz="8" w:space="0" w:color="auto"/>
                    <w:right w:val="single" w:sz="8" w:space="0" w:color="auto"/>
                  </w:tcBorders>
                  <w:shd w:val="clear" w:color="000000" w:fill="EEECE1"/>
                  <w:hideMark/>
                </w:tcPr>
                <w:p w14:paraId="7C8003A9"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 </w:t>
                  </w:r>
                </w:p>
              </w:tc>
            </w:tr>
            <w:tr w:rsidR="00F877DE" w:rsidRPr="0009691C" w14:paraId="637F00C7" w14:textId="77777777" w:rsidTr="00F877DE">
              <w:trPr>
                <w:trHeight w:val="320"/>
              </w:trPr>
              <w:tc>
                <w:tcPr>
                  <w:tcW w:w="4140" w:type="dxa"/>
                  <w:tcBorders>
                    <w:top w:val="nil"/>
                    <w:left w:val="single" w:sz="8" w:space="0" w:color="auto"/>
                    <w:bottom w:val="single" w:sz="4" w:space="0" w:color="auto"/>
                    <w:right w:val="nil"/>
                  </w:tcBorders>
                  <w:noWrap/>
                  <w:hideMark/>
                </w:tcPr>
                <w:p w14:paraId="2A2C2989"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Completed on time (10 working days)</w:t>
                  </w:r>
                </w:p>
              </w:tc>
              <w:tc>
                <w:tcPr>
                  <w:tcW w:w="1240" w:type="dxa"/>
                  <w:tcBorders>
                    <w:top w:val="nil"/>
                    <w:left w:val="single" w:sz="8" w:space="0" w:color="auto"/>
                    <w:bottom w:val="single" w:sz="4" w:space="0" w:color="auto"/>
                    <w:right w:val="single" w:sz="8" w:space="0" w:color="auto"/>
                  </w:tcBorders>
                  <w:noWrap/>
                  <w:hideMark/>
                </w:tcPr>
                <w:p w14:paraId="7B422FC1"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269</w:t>
                  </w:r>
                </w:p>
              </w:tc>
              <w:tc>
                <w:tcPr>
                  <w:tcW w:w="1240" w:type="dxa"/>
                  <w:tcBorders>
                    <w:top w:val="nil"/>
                    <w:left w:val="nil"/>
                    <w:bottom w:val="single" w:sz="4" w:space="0" w:color="auto"/>
                    <w:right w:val="single" w:sz="8" w:space="0" w:color="auto"/>
                  </w:tcBorders>
                  <w:noWrap/>
                  <w:hideMark/>
                </w:tcPr>
                <w:p w14:paraId="352EE7CA"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86%</w:t>
                  </w:r>
                </w:p>
              </w:tc>
            </w:tr>
            <w:tr w:rsidR="00F877DE" w:rsidRPr="0009691C" w14:paraId="709E95BD" w14:textId="77777777" w:rsidTr="00F877DE">
              <w:trPr>
                <w:trHeight w:val="320"/>
              </w:trPr>
              <w:tc>
                <w:tcPr>
                  <w:tcW w:w="4140" w:type="dxa"/>
                  <w:tcBorders>
                    <w:top w:val="nil"/>
                    <w:left w:val="single" w:sz="8" w:space="0" w:color="auto"/>
                    <w:bottom w:val="single" w:sz="4" w:space="0" w:color="auto"/>
                    <w:right w:val="nil"/>
                  </w:tcBorders>
                  <w:noWrap/>
                  <w:hideMark/>
                </w:tcPr>
                <w:p w14:paraId="1A4DCEAD"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Completed on time inc. extensions</w:t>
                  </w:r>
                </w:p>
              </w:tc>
              <w:tc>
                <w:tcPr>
                  <w:tcW w:w="1240" w:type="dxa"/>
                  <w:tcBorders>
                    <w:top w:val="nil"/>
                    <w:left w:val="single" w:sz="8" w:space="0" w:color="auto"/>
                    <w:bottom w:val="single" w:sz="4" w:space="0" w:color="auto"/>
                    <w:right w:val="single" w:sz="8" w:space="0" w:color="auto"/>
                  </w:tcBorders>
                  <w:noWrap/>
                  <w:hideMark/>
                </w:tcPr>
                <w:p w14:paraId="35FE8A68"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301</w:t>
                  </w:r>
                </w:p>
              </w:tc>
              <w:tc>
                <w:tcPr>
                  <w:tcW w:w="1240" w:type="dxa"/>
                  <w:tcBorders>
                    <w:top w:val="nil"/>
                    <w:left w:val="nil"/>
                    <w:bottom w:val="single" w:sz="4" w:space="0" w:color="auto"/>
                    <w:right w:val="single" w:sz="8" w:space="0" w:color="auto"/>
                  </w:tcBorders>
                  <w:noWrap/>
                  <w:hideMark/>
                </w:tcPr>
                <w:p w14:paraId="01107D2B"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96%</w:t>
                  </w:r>
                </w:p>
              </w:tc>
            </w:tr>
            <w:tr w:rsidR="00F877DE" w:rsidRPr="0009691C" w14:paraId="7F03E2E7" w14:textId="77777777" w:rsidTr="00F877DE">
              <w:trPr>
                <w:trHeight w:val="330"/>
              </w:trPr>
              <w:tc>
                <w:tcPr>
                  <w:tcW w:w="4140" w:type="dxa"/>
                  <w:tcBorders>
                    <w:top w:val="nil"/>
                    <w:left w:val="single" w:sz="8" w:space="0" w:color="auto"/>
                    <w:bottom w:val="single" w:sz="8" w:space="0" w:color="auto"/>
                    <w:right w:val="nil"/>
                  </w:tcBorders>
                  <w:noWrap/>
                  <w:hideMark/>
                </w:tcPr>
                <w:p w14:paraId="0EE35991"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Completed late</w:t>
                  </w:r>
                </w:p>
              </w:tc>
              <w:tc>
                <w:tcPr>
                  <w:tcW w:w="1240" w:type="dxa"/>
                  <w:tcBorders>
                    <w:top w:val="nil"/>
                    <w:left w:val="single" w:sz="8" w:space="0" w:color="auto"/>
                    <w:bottom w:val="single" w:sz="8" w:space="0" w:color="auto"/>
                    <w:right w:val="single" w:sz="8" w:space="0" w:color="auto"/>
                  </w:tcBorders>
                  <w:noWrap/>
                  <w:hideMark/>
                </w:tcPr>
                <w:p w14:paraId="42EFCFE4"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11</w:t>
                  </w:r>
                </w:p>
              </w:tc>
              <w:tc>
                <w:tcPr>
                  <w:tcW w:w="1240" w:type="dxa"/>
                  <w:tcBorders>
                    <w:top w:val="nil"/>
                    <w:left w:val="nil"/>
                    <w:bottom w:val="single" w:sz="8" w:space="0" w:color="auto"/>
                    <w:right w:val="single" w:sz="8" w:space="0" w:color="auto"/>
                  </w:tcBorders>
                  <w:noWrap/>
                  <w:hideMark/>
                </w:tcPr>
                <w:p w14:paraId="05072ADC"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4%</w:t>
                  </w:r>
                </w:p>
              </w:tc>
            </w:tr>
            <w:tr w:rsidR="00F877DE" w:rsidRPr="0009691C" w14:paraId="13643519" w14:textId="77777777" w:rsidTr="00F877DE">
              <w:trPr>
                <w:trHeight w:val="330"/>
              </w:trPr>
              <w:tc>
                <w:tcPr>
                  <w:tcW w:w="4140" w:type="dxa"/>
                  <w:tcBorders>
                    <w:top w:val="nil"/>
                    <w:left w:val="single" w:sz="8" w:space="0" w:color="auto"/>
                    <w:bottom w:val="single" w:sz="8" w:space="0" w:color="auto"/>
                    <w:right w:val="nil"/>
                  </w:tcBorders>
                  <w:shd w:val="clear" w:color="000000" w:fill="EEECE1"/>
                  <w:noWrap/>
                  <w:hideMark/>
                </w:tcPr>
                <w:p w14:paraId="5324C5D5"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Review (stage 2)</w:t>
                  </w:r>
                </w:p>
              </w:tc>
              <w:tc>
                <w:tcPr>
                  <w:tcW w:w="1240" w:type="dxa"/>
                  <w:tcBorders>
                    <w:top w:val="nil"/>
                    <w:left w:val="single" w:sz="8" w:space="0" w:color="auto"/>
                    <w:bottom w:val="single" w:sz="8" w:space="0" w:color="auto"/>
                    <w:right w:val="single" w:sz="8" w:space="0" w:color="auto"/>
                  </w:tcBorders>
                  <w:shd w:val="clear" w:color="000000" w:fill="EEECE1"/>
                  <w:noWrap/>
                  <w:hideMark/>
                </w:tcPr>
                <w:p w14:paraId="44C6576B"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34</w:t>
                  </w:r>
                </w:p>
              </w:tc>
              <w:tc>
                <w:tcPr>
                  <w:tcW w:w="1240" w:type="dxa"/>
                  <w:tcBorders>
                    <w:top w:val="nil"/>
                    <w:left w:val="nil"/>
                    <w:bottom w:val="single" w:sz="8" w:space="0" w:color="auto"/>
                    <w:right w:val="single" w:sz="8" w:space="0" w:color="auto"/>
                  </w:tcBorders>
                  <w:shd w:val="clear" w:color="000000" w:fill="EEECE1"/>
                  <w:noWrap/>
                  <w:hideMark/>
                </w:tcPr>
                <w:p w14:paraId="081471F3"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 </w:t>
                  </w:r>
                </w:p>
              </w:tc>
            </w:tr>
            <w:tr w:rsidR="00F877DE" w:rsidRPr="0009691C" w14:paraId="25A2F630" w14:textId="77777777" w:rsidTr="00F877DE">
              <w:trPr>
                <w:trHeight w:val="320"/>
              </w:trPr>
              <w:tc>
                <w:tcPr>
                  <w:tcW w:w="4140" w:type="dxa"/>
                  <w:tcBorders>
                    <w:top w:val="nil"/>
                    <w:left w:val="single" w:sz="8" w:space="0" w:color="auto"/>
                    <w:bottom w:val="single" w:sz="4" w:space="0" w:color="auto"/>
                    <w:right w:val="nil"/>
                  </w:tcBorders>
                  <w:noWrap/>
                  <w:hideMark/>
                </w:tcPr>
                <w:p w14:paraId="0655ADF1"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Completed on time (20 working days)</w:t>
                  </w:r>
                </w:p>
              </w:tc>
              <w:tc>
                <w:tcPr>
                  <w:tcW w:w="1240" w:type="dxa"/>
                  <w:tcBorders>
                    <w:top w:val="nil"/>
                    <w:left w:val="single" w:sz="8" w:space="0" w:color="auto"/>
                    <w:bottom w:val="single" w:sz="4" w:space="0" w:color="auto"/>
                    <w:right w:val="single" w:sz="8" w:space="0" w:color="auto"/>
                  </w:tcBorders>
                  <w:noWrap/>
                  <w:hideMark/>
                </w:tcPr>
                <w:p w14:paraId="1FFEB053"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27</w:t>
                  </w:r>
                </w:p>
              </w:tc>
              <w:tc>
                <w:tcPr>
                  <w:tcW w:w="1240" w:type="dxa"/>
                  <w:tcBorders>
                    <w:top w:val="nil"/>
                    <w:left w:val="nil"/>
                    <w:bottom w:val="single" w:sz="4" w:space="0" w:color="auto"/>
                    <w:right w:val="single" w:sz="8" w:space="0" w:color="auto"/>
                  </w:tcBorders>
                  <w:noWrap/>
                  <w:hideMark/>
                </w:tcPr>
                <w:p w14:paraId="08BF155B"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79%</w:t>
                  </w:r>
                </w:p>
              </w:tc>
            </w:tr>
            <w:tr w:rsidR="00F877DE" w:rsidRPr="0009691C" w14:paraId="024C3FC7" w14:textId="77777777" w:rsidTr="00F877DE">
              <w:trPr>
                <w:trHeight w:val="320"/>
              </w:trPr>
              <w:tc>
                <w:tcPr>
                  <w:tcW w:w="4140" w:type="dxa"/>
                  <w:tcBorders>
                    <w:top w:val="nil"/>
                    <w:left w:val="single" w:sz="8" w:space="0" w:color="auto"/>
                    <w:bottom w:val="nil"/>
                    <w:right w:val="nil"/>
                  </w:tcBorders>
                  <w:noWrap/>
                  <w:hideMark/>
                </w:tcPr>
                <w:p w14:paraId="77CB56C4"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Completed on time inc. extensions</w:t>
                  </w:r>
                </w:p>
              </w:tc>
              <w:tc>
                <w:tcPr>
                  <w:tcW w:w="1240" w:type="dxa"/>
                  <w:tcBorders>
                    <w:top w:val="nil"/>
                    <w:left w:val="single" w:sz="8" w:space="0" w:color="auto"/>
                    <w:bottom w:val="nil"/>
                    <w:right w:val="single" w:sz="8" w:space="0" w:color="auto"/>
                  </w:tcBorders>
                  <w:noWrap/>
                  <w:hideMark/>
                </w:tcPr>
                <w:p w14:paraId="4ECC9A68"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34</w:t>
                  </w:r>
                </w:p>
              </w:tc>
              <w:tc>
                <w:tcPr>
                  <w:tcW w:w="1240" w:type="dxa"/>
                  <w:tcBorders>
                    <w:top w:val="nil"/>
                    <w:left w:val="nil"/>
                    <w:bottom w:val="nil"/>
                    <w:right w:val="single" w:sz="8" w:space="0" w:color="auto"/>
                  </w:tcBorders>
                  <w:noWrap/>
                  <w:hideMark/>
                </w:tcPr>
                <w:p w14:paraId="1A4C75B4"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100%</w:t>
                  </w:r>
                </w:p>
              </w:tc>
            </w:tr>
            <w:tr w:rsidR="00F877DE" w:rsidRPr="0009691C" w14:paraId="55559C6D" w14:textId="77777777" w:rsidTr="00F877DE">
              <w:trPr>
                <w:trHeight w:val="330"/>
              </w:trPr>
              <w:tc>
                <w:tcPr>
                  <w:tcW w:w="4140" w:type="dxa"/>
                  <w:tcBorders>
                    <w:top w:val="single" w:sz="4" w:space="0" w:color="auto"/>
                    <w:left w:val="single" w:sz="8" w:space="0" w:color="auto"/>
                    <w:bottom w:val="single" w:sz="8" w:space="0" w:color="auto"/>
                    <w:right w:val="nil"/>
                  </w:tcBorders>
                  <w:noWrap/>
                  <w:hideMark/>
                </w:tcPr>
                <w:p w14:paraId="42377069"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Completed late</w:t>
                  </w:r>
                </w:p>
              </w:tc>
              <w:tc>
                <w:tcPr>
                  <w:tcW w:w="1240" w:type="dxa"/>
                  <w:tcBorders>
                    <w:top w:val="single" w:sz="4" w:space="0" w:color="auto"/>
                    <w:left w:val="single" w:sz="8" w:space="0" w:color="auto"/>
                    <w:bottom w:val="single" w:sz="8" w:space="0" w:color="auto"/>
                    <w:right w:val="single" w:sz="8" w:space="0" w:color="auto"/>
                  </w:tcBorders>
                  <w:noWrap/>
                  <w:hideMark/>
                </w:tcPr>
                <w:p w14:paraId="63E0520C"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0</w:t>
                  </w:r>
                </w:p>
              </w:tc>
              <w:tc>
                <w:tcPr>
                  <w:tcW w:w="1240" w:type="dxa"/>
                  <w:tcBorders>
                    <w:top w:val="single" w:sz="4" w:space="0" w:color="auto"/>
                    <w:left w:val="nil"/>
                    <w:bottom w:val="single" w:sz="8" w:space="0" w:color="auto"/>
                    <w:right w:val="single" w:sz="8" w:space="0" w:color="auto"/>
                  </w:tcBorders>
                  <w:noWrap/>
                  <w:hideMark/>
                </w:tcPr>
                <w:p w14:paraId="2FB88867" w14:textId="77777777" w:rsidR="00F877DE" w:rsidRPr="0009691C" w:rsidRDefault="00F877DE" w:rsidP="00F877DE">
                  <w:pPr>
                    <w:rPr>
                      <w:rFonts w:ascii="Work Sans" w:hAnsi="Work Sans" w:cs="Arial"/>
                      <w:b/>
                      <w:bCs/>
                      <w:sz w:val="20"/>
                      <w:szCs w:val="20"/>
                    </w:rPr>
                  </w:pPr>
                  <w:r w:rsidRPr="0009691C">
                    <w:rPr>
                      <w:rFonts w:ascii="Work Sans" w:hAnsi="Work Sans" w:cs="Arial"/>
                      <w:b/>
                      <w:bCs/>
                      <w:sz w:val="20"/>
                      <w:szCs w:val="20"/>
                    </w:rPr>
                    <w:t>0%</w:t>
                  </w:r>
                </w:p>
              </w:tc>
            </w:tr>
          </w:tbl>
          <w:p w14:paraId="77D4C031" w14:textId="567C653A" w:rsidR="00B659ED" w:rsidRPr="0009691C" w:rsidRDefault="00B659ED" w:rsidP="00B659ED">
            <w:pPr>
              <w:spacing w:after="160"/>
              <w:ind w:left="709" w:right="403"/>
              <w:jc w:val="center"/>
              <w:rPr>
                <w:rFonts w:ascii="Work Sans" w:hAnsi="Work Sans"/>
              </w:rPr>
            </w:pPr>
          </w:p>
          <w:p w14:paraId="37DE075F"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Complaint Response – Stage 1</w:t>
            </w:r>
          </w:p>
          <w:p w14:paraId="5BCD8CD2" w14:textId="1791113D"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The graph illustrates the performance of complaints responded to within a 10-working day timeframe.  The Complaint Handling Code is prescriptive about how extensions should be used, communicated and recorded, and the table show</w:t>
            </w:r>
            <w:r w:rsidR="00FF593C" w:rsidRPr="0009691C">
              <w:rPr>
                <w:rFonts w:ascii="Work Sans" w:hAnsi="Work Sans"/>
              </w:rPr>
              <w:t>s</w:t>
            </w:r>
            <w:r w:rsidRPr="0009691C">
              <w:rPr>
                <w:rFonts w:ascii="Work Sans" w:hAnsi="Work Sans"/>
              </w:rPr>
              <w:t xml:space="preserve"> response time performance with and without extensions. </w:t>
            </w:r>
            <w:r w:rsidR="00FF593C" w:rsidRPr="0009691C">
              <w:rPr>
                <w:rFonts w:ascii="Work Sans" w:hAnsi="Work Sans"/>
              </w:rPr>
              <w:t>I</w:t>
            </w:r>
            <w:r w:rsidRPr="0009691C">
              <w:rPr>
                <w:rFonts w:ascii="Work Sans" w:hAnsi="Work Sans"/>
              </w:rPr>
              <w:t xml:space="preserve">ncluding extensions </w:t>
            </w:r>
            <w:r w:rsidR="00174701" w:rsidRPr="0009691C">
              <w:rPr>
                <w:rFonts w:ascii="Work Sans" w:hAnsi="Work Sans"/>
              </w:rPr>
              <w:t>96</w:t>
            </w:r>
            <w:r w:rsidRPr="0009691C">
              <w:rPr>
                <w:rFonts w:ascii="Work Sans" w:hAnsi="Work Sans"/>
              </w:rPr>
              <w:t>% of stage 1 complaints were responded to in time. As described in 5</w:t>
            </w:r>
            <w:r w:rsidR="00DA453C" w:rsidRPr="0009691C">
              <w:rPr>
                <w:rFonts w:ascii="Work Sans" w:hAnsi="Work Sans"/>
              </w:rPr>
              <w:t>.2</w:t>
            </w:r>
            <w:r w:rsidR="00B445AF">
              <w:rPr>
                <w:rFonts w:ascii="Work Sans" w:hAnsi="Work Sans"/>
              </w:rPr>
              <w:t>8</w:t>
            </w:r>
            <w:r w:rsidRPr="0009691C">
              <w:rPr>
                <w:rFonts w:ascii="Work Sans" w:hAnsi="Work Sans"/>
              </w:rPr>
              <w:t xml:space="preserve"> Response Times, all extensions are agreed by a director and recorded by the Customer Experience Team.</w:t>
            </w:r>
          </w:p>
          <w:p w14:paraId="0D2EF0D9" w14:textId="77777777" w:rsidR="0063597B" w:rsidRPr="0009691C" w:rsidRDefault="0063597B"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Comparing performance with the previous year, there has been a 15</w:t>
            </w:r>
            <w:r w:rsidRPr="0009691C">
              <w:rPr>
                <w:rFonts w:ascii="Work Sans" w:hAnsi="Work Sans"/>
              </w:rPr>
              <w:noBreakHyphen/>
              <w:t>percentage</w:t>
            </w:r>
            <w:r w:rsidRPr="0009691C">
              <w:rPr>
                <w:rFonts w:ascii="Work Sans" w:hAnsi="Work Sans"/>
              </w:rPr>
              <w:noBreakHyphen/>
              <w:t>point improvement in responses within the 10</w:t>
            </w:r>
            <w:r w:rsidRPr="0009691C">
              <w:rPr>
                <w:rFonts w:ascii="Work Sans" w:hAnsi="Work Sans"/>
              </w:rPr>
              <w:noBreakHyphen/>
              <w:t>working</w:t>
            </w:r>
            <w:r w:rsidRPr="0009691C">
              <w:rPr>
                <w:rFonts w:ascii="Work Sans" w:hAnsi="Work Sans"/>
              </w:rPr>
              <w:noBreakHyphen/>
              <w:t>day timeframe. When we include the 32 complaints which used an extension, overall performance increases from 81% to 96%, representing an 18.5% improvement. This improvement can be attributed to the positive impact of the Maintenance Pilot (July–November) and to maintenance complaints being managed by the Customer Experience Department from December onwards, which has supported more timely and effective responses.</w:t>
            </w:r>
          </w:p>
          <w:p w14:paraId="74BFDADF" w14:textId="7EEE0B28"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Customer Experience Team continue to keep a close eye on the use of extensions to ensure they </w:t>
            </w:r>
            <w:r w:rsidR="00463167" w:rsidRPr="0009691C">
              <w:rPr>
                <w:rFonts w:ascii="Work Sans" w:hAnsi="Work Sans"/>
              </w:rPr>
              <w:t xml:space="preserve">are </w:t>
            </w:r>
            <w:r w:rsidRPr="0009691C">
              <w:rPr>
                <w:rFonts w:ascii="Work Sans" w:hAnsi="Work Sans"/>
              </w:rPr>
              <w:t xml:space="preserve">used correctly and not overused. Performance is reported monthly to key business areas and the member responsible for complaints, and quarterly to the </w:t>
            </w:r>
            <w:r w:rsidR="002E2F4E" w:rsidRPr="0009691C">
              <w:rPr>
                <w:rFonts w:ascii="Work Sans" w:hAnsi="Work Sans"/>
              </w:rPr>
              <w:t xml:space="preserve">Executive Leadership </w:t>
            </w:r>
            <w:r w:rsidRPr="0009691C">
              <w:rPr>
                <w:rFonts w:ascii="Work Sans" w:hAnsi="Work Sans"/>
              </w:rPr>
              <w:t xml:space="preserve">Team.  </w:t>
            </w:r>
          </w:p>
          <w:p w14:paraId="7F3C9BF0" w14:textId="77777777" w:rsidR="00B659ED" w:rsidRPr="004364E9" w:rsidRDefault="00B659ED" w:rsidP="004364E9">
            <w:pPr>
              <w:pStyle w:val="ListParagraph"/>
              <w:spacing w:before="60" w:after="120"/>
              <w:ind w:left="794"/>
              <w:contextualSpacing w:val="0"/>
              <w:jc w:val="both"/>
              <w:rPr>
                <w:rFonts w:ascii="Work Sans" w:hAnsi="Work Sans"/>
                <w:b/>
                <w:bCs/>
              </w:rPr>
            </w:pPr>
            <w:r w:rsidRPr="004364E9">
              <w:rPr>
                <w:rFonts w:ascii="Work Sans" w:hAnsi="Work Sans"/>
                <w:b/>
                <w:bCs/>
              </w:rPr>
              <w:t>Complaint Review – Stage 2</w:t>
            </w:r>
          </w:p>
          <w:p w14:paraId="53373B00" w14:textId="215EE44E" w:rsidR="00B659ED" w:rsidRPr="0009691C" w:rsidRDefault="00327A71" w:rsidP="0019179A">
            <w:pPr>
              <w:pStyle w:val="ListParagraph"/>
              <w:numPr>
                <w:ilvl w:val="1"/>
                <w:numId w:val="1"/>
              </w:numPr>
              <w:spacing w:before="60" w:after="120"/>
              <w:ind w:left="794" w:hanging="794"/>
              <w:contextualSpacing w:val="0"/>
              <w:jc w:val="both"/>
              <w:rPr>
                <w:rFonts w:ascii="Work Sans" w:hAnsi="Work Sans"/>
              </w:rPr>
            </w:pPr>
            <w:r w:rsidRPr="00327A71">
              <w:rPr>
                <w:rFonts w:ascii="Work Sans" w:hAnsi="Work Sans"/>
              </w:rPr>
              <w:t xml:space="preserve">Of the </w:t>
            </w:r>
            <w:r>
              <w:rPr>
                <w:rFonts w:ascii="Work Sans" w:hAnsi="Work Sans"/>
              </w:rPr>
              <w:t>C</w:t>
            </w:r>
            <w:r w:rsidRPr="00327A71">
              <w:rPr>
                <w:rFonts w:ascii="Work Sans" w:hAnsi="Work Sans"/>
              </w:rPr>
              <w:t>omplaint</w:t>
            </w:r>
            <w:r>
              <w:rPr>
                <w:rFonts w:ascii="Work Sans" w:hAnsi="Work Sans"/>
              </w:rPr>
              <w:t xml:space="preserve">s that </w:t>
            </w:r>
            <w:r w:rsidRPr="00327A71">
              <w:rPr>
                <w:rFonts w:ascii="Work Sans" w:hAnsi="Work Sans"/>
              </w:rPr>
              <w:t>progressed to Stage 2, 34 were responded to within 2025/26. All responses were issued within the required 20 working days, or within an agreed extension of no more than a further 20 working days, in line with the Complaint Handling Code. The difference between the number of reviews received and those responded to reflects the timing of cases progressing across reporting period</w:t>
            </w:r>
            <w:r w:rsidR="00943352">
              <w:rPr>
                <w:rFonts w:ascii="Work Sans" w:hAnsi="Work Sans"/>
              </w:rPr>
              <w:t>.</w:t>
            </w:r>
          </w:p>
          <w:p w14:paraId="08DF4FBC"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Satisfaction</w:t>
            </w:r>
          </w:p>
          <w:p w14:paraId="7A02A5E0"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 xml:space="preserve">Tenant Satisfaction Perception Measure </w:t>
            </w:r>
          </w:p>
          <w:p w14:paraId="52A2869F" w14:textId="3C59BE64" w:rsidR="00B659ED" w:rsidRPr="0009691C" w:rsidRDefault="005802E0" w:rsidP="0019179A">
            <w:pPr>
              <w:pStyle w:val="ListParagraph"/>
              <w:numPr>
                <w:ilvl w:val="1"/>
                <w:numId w:val="1"/>
              </w:numPr>
              <w:spacing w:before="60" w:after="120"/>
              <w:ind w:left="794" w:hanging="794"/>
              <w:contextualSpacing w:val="0"/>
              <w:jc w:val="both"/>
              <w:rPr>
                <w:rFonts w:ascii="Work Sans" w:hAnsi="Work Sans"/>
              </w:rPr>
            </w:pPr>
            <w:r w:rsidRPr="005802E0">
              <w:rPr>
                <w:rFonts w:ascii="Work Sans" w:hAnsi="Work Sans"/>
              </w:rPr>
              <w:t xml:space="preserve">TP09 measures satisfaction with the landlord’s approach to handling complaints through the Tenant Satisfaction Measures survey. Customers are first asked whether they have made a complaint in the previous 12 months and, of those who had, 52% reported being satisfied. This provides a perception‑based measure and differs from the satisfaction feedback we also collect through our transactional complaints survey, which captures satisfaction immediately after a complaint has been handled (see </w:t>
            </w:r>
            <w:r w:rsidRPr="005C4C62">
              <w:rPr>
                <w:rFonts w:ascii="Work Sans" w:hAnsi="Work Sans"/>
              </w:rPr>
              <w:t>5.</w:t>
            </w:r>
            <w:r w:rsidR="005C4C62" w:rsidRPr="005C4C62">
              <w:rPr>
                <w:rFonts w:ascii="Work Sans" w:hAnsi="Work Sans"/>
              </w:rPr>
              <w:t>59</w:t>
            </w:r>
            <w:r w:rsidRPr="005802E0">
              <w:rPr>
                <w:rFonts w:ascii="Work Sans" w:hAnsi="Work Sans"/>
              </w:rPr>
              <w:t xml:space="preserve"> Transactional complaint handling satisfaction data).</w:t>
            </w:r>
          </w:p>
          <w:p w14:paraId="40137287" w14:textId="2DFF7345"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TP09 is the lowest scoring perception measure question</w:t>
            </w:r>
            <w:r w:rsidR="00257779" w:rsidRPr="0009691C">
              <w:rPr>
                <w:rFonts w:ascii="Work Sans" w:hAnsi="Work Sans"/>
              </w:rPr>
              <w:t>,</w:t>
            </w:r>
            <w:r w:rsidRPr="0009691C">
              <w:rPr>
                <w:rFonts w:ascii="Work Sans" w:hAnsi="Work Sans"/>
              </w:rPr>
              <w:t xml:space="preserve"> a trend that is seen across the sector. In 20</w:t>
            </w:r>
            <w:r w:rsidR="00A96F74" w:rsidRPr="0009691C">
              <w:rPr>
                <w:rFonts w:ascii="Work Sans" w:hAnsi="Work Sans"/>
              </w:rPr>
              <w:t>24</w:t>
            </w:r>
            <w:r w:rsidRPr="0009691C">
              <w:rPr>
                <w:rFonts w:ascii="Work Sans" w:hAnsi="Work Sans"/>
              </w:rPr>
              <w:t>/</w:t>
            </w:r>
            <w:r w:rsidR="003F2D49" w:rsidRPr="0009691C">
              <w:rPr>
                <w:rFonts w:ascii="Work Sans" w:hAnsi="Work Sans"/>
              </w:rPr>
              <w:t>25</w:t>
            </w:r>
            <w:r w:rsidRPr="0009691C">
              <w:rPr>
                <w:rFonts w:ascii="Work Sans" w:hAnsi="Work Sans"/>
              </w:rPr>
              <w:t xml:space="preserve">, </w:t>
            </w:r>
            <w:r w:rsidR="00932DB4" w:rsidRPr="0009691C">
              <w:rPr>
                <w:rFonts w:ascii="Work Sans" w:hAnsi="Work Sans"/>
              </w:rPr>
              <w:t>39</w:t>
            </w:r>
            <w:r w:rsidRPr="0009691C">
              <w:rPr>
                <w:rFonts w:ascii="Work Sans" w:hAnsi="Work Sans"/>
              </w:rPr>
              <w:t>% of SYHA customers said they were satisfied compared with the national average of 3</w:t>
            </w:r>
            <w:r w:rsidR="001C4EE4">
              <w:rPr>
                <w:rFonts w:ascii="Work Sans" w:hAnsi="Work Sans"/>
              </w:rPr>
              <w:t>5</w:t>
            </w:r>
            <w:r w:rsidRPr="0009691C">
              <w:rPr>
                <w:rFonts w:ascii="Work Sans" w:hAnsi="Work Sans"/>
              </w:rPr>
              <w:t>.5% satisfaction, low-cost accommodation.</w:t>
            </w:r>
            <w:r w:rsidR="00D92A64" w:rsidRPr="0009691C">
              <w:rPr>
                <w:rFonts w:ascii="Work Sans" w:hAnsi="Work Sans"/>
              </w:rPr>
              <w:t xml:space="preserve"> We have seen a marked improvement in our satisfaction this year</w:t>
            </w:r>
            <w:r w:rsidR="00182C5C" w:rsidRPr="0009691C">
              <w:rPr>
                <w:rFonts w:ascii="Work Sans" w:hAnsi="Work Sans"/>
              </w:rPr>
              <w:t xml:space="preserve">, representing </w:t>
            </w:r>
            <w:r w:rsidR="006A6CEA" w:rsidRPr="0009691C">
              <w:rPr>
                <w:rFonts w:ascii="Work Sans" w:hAnsi="Work Sans"/>
              </w:rPr>
              <w:t xml:space="preserve">a </w:t>
            </w:r>
            <w:proofErr w:type="gramStart"/>
            <w:r w:rsidR="00D4047E" w:rsidRPr="0009691C">
              <w:rPr>
                <w:rFonts w:ascii="Work Sans" w:hAnsi="Work Sans"/>
              </w:rPr>
              <w:t>13%</w:t>
            </w:r>
            <w:r w:rsidR="00D4047E">
              <w:rPr>
                <w:rFonts w:ascii="Work Sans" w:hAnsi="Work Sans"/>
              </w:rPr>
              <w:t xml:space="preserve"> </w:t>
            </w:r>
            <w:r w:rsidR="00D4047E" w:rsidRPr="0009691C">
              <w:rPr>
                <w:rFonts w:ascii="Work Sans" w:hAnsi="Work Sans"/>
              </w:rPr>
              <w:t>point</w:t>
            </w:r>
            <w:proofErr w:type="gramEnd"/>
            <w:r w:rsidR="006A6CEA" w:rsidRPr="0009691C">
              <w:rPr>
                <w:rFonts w:ascii="Work Sans" w:hAnsi="Work Sans"/>
              </w:rPr>
              <w:t xml:space="preserve"> increase</w:t>
            </w:r>
            <w:r w:rsidR="00D92A64" w:rsidRPr="0009691C">
              <w:rPr>
                <w:rFonts w:ascii="Work Sans" w:hAnsi="Work Sans"/>
              </w:rPr>
              <w:t xml:space="preserve">, which can be </w:t>
            </w:r>
            <w:r w:rsidR="00CD703A" w:rsidRPr="0009691C">
              <w:rPr>
                <w:rFonts w:ascii="Work Sans" w:hAnsi="Work Sans"/>
              </w:rPr>
              <w:t>attributed</w:t>
            </w:r>
            <w:r w:rsidR="00D92A64" w:rsidRPr="0009691C">
              <w:rPr>
                <w:rFonts w:ascii="Work Sans" w:hAnsi="Work Sans"/>
              </w:rPr>
              <w:t xml:space="preserve"> to </w:t>
            </w:r>
            <w:r w:rsidR="00182C5C" w:rsidRPr="0009691C">
              <w:rPr>
                <w:rFonts w:ascii="Work Sans" w:hAnsi="Work Sans"/>
              </w:rPr>
              <w:t>our</w:t>
            </w:r>
            <w:r w:rsidR="00DE54E9" w:rsidRPr="0009691C">
              <w:rPr>
                <w:rFonts w:ascii="Work Sans" w:hAnsi="Work Sans"/>
              </w:rPr>
              <w:t xml:space="preserve"> </w:t>
            </w:r>
            <w:r w:rsidR="004D7639" w:rsidRPr="0009691C">
              <w:rPr>
                <w:rFonts w:ascii="Work Sans" w:hAnsi="Work Sans"/>
              </w:rPr>
              <w:t xml:space="preserve">Complaint Handling </w:t>
            </w:r>
            <w:r w:rsidR="00DE54E9" w:rsidRPr="0009691C">
              <w:rPr>
                <w:rFonts w:ascii="Work Sans" w:hAnsi="Work Sans"/>
              </w:rPr>
              <w:t>improvement work</w:t>
            </w:r>
            <w:r w:rsidR="00CD703A" w:rsidRPr="0009691C">
              <w:rPr>
                <w:rFonts w:ascii="Work Sans" w:hAnsi="Work Sans"/>
              </w:rPr>
              <w:t xml:space="preserve">. </w:t>
            </w:r>
            <w:r w:rsidRPr="0009691C">
              <w:rPr>
                <w:rFonts w:ascii="Work Sans" w:hAnsi="Work Sans"/>
              </w:rPr>
              <w:t xml:space="preserve"> Currently we are unable to benchmark data for 202</w:t>
            </w:r>
            <w:r w:rsidR="00090881" w:rsidRPr="0009691C">
              <w:rPr>
                <w:rFonts w:ascii="Work Sans" w:hAnsi="Work Sans"/>
              </w:rPr>
              <w:t>5</w:t>
            </w:r>
            <w:r w:rsidRPr="0009691C">
              <w:rPr>
                <w:rFonts w:ascii="Work Sans" w:hAnsi="Work Sans"/>
              </w:rPr>
              <w:t>/2</w:t>
            </w:r>
            <w:r w:rsidR="00090881" w:rsidRPr="0009691C">
              <w:rPr>
                <w:rFonts w:ascii="Work Sans" w:hAnsi="Work Sans"/>
              </w:rPr>
              <w:t>6</w:t>
            </w:r>
            <w:r w:rsidR="00472581">
              <w:rPr>
                <w:rFonts w:ascii="Work Sans" w:hAnsi="Work Sans"/>
              </w:rPr>
              <w:t>.</w:t>
            </w:r>
          </w:p>
          <w:p w14:paraId="451D8D0B" w14:textId="1B1AE183"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We continue to see a difference in the number of customers who state they have made a complaint compared with our records, suggesting some discrepancy between what customers may view as a complaint. As quarterly data is received it is analysed and indicates some customers have reported ASB to SYHA and may </w:t>
            </w:r>
            <w:r w:rsidR="00472581">
              <w:rPr>
                <w:rFonts w:ascii="Work Sans" w:hAnsi="Work Sans"/>
              </w:rPr>
              <w:t xml:space="preserve">perceive this </w:t>
            </w:r>
            <w:r w:rsidRPr="0009691C">
              <w:rPr>
                <w:rFonts w:ascii="Work Sans" w:hAnsi="Work Sans"/>
              </w:rPr>
              <w:t>as a complaint, and customers who have previously made a complaint, but it was not in the reporting year 202</w:t>
            </w:r>
            <w:r w:rsidR="00FB3C99" w:rsidRPr="0009691C">
              <w:rPr>
                <w:rFonts w:ascii="Work Sans" w:hAnsi="Work Sans"/>
              </w:rPr>
              <w:t>5</w:t>
            </w:r>
            <w:r w:rsidRPr="0009691C">
              <w:rPr>
                <w:rFonts w:ascii="Work Sans" w:hAnsi="Work Sans"/>
              </w:rPr>
              <w:t>/2</w:t>
            </w:r>
            <w:r w:rsidR="00FB3C99" w:rsidRPr="0009691C">
              <w:rPr>
                <w:rFonts w:ascii="Work Sans" w:hAnsi="Work Sans"/>
              </w:rPr>
              <w:t>6</w:t>
            </w:r>
            <w:r w:rsidRPr="0009691C">
              <w:rPr>
                <w:rFonts w:ascii="Work Sans" w:hAnsi="Work Sans"/>
              </w:rPr>
              <w:t xml:space="preserve">. Contact is made with these customers to gain a better understanding of what may be happening and to remind people of the different ways they can make a complaint. </w:t>
            </w:r>
          </w:p>
          <w:p w14:paraId="19B8BD55"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Transactional Complaint Handling Satisfaction Data</w:t>
            </w:r>
          </w:p>
          <w:p w14:paraId="5F4433A7" w14:textId="43FF45B3"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Once a complaint has been responded to, we invite the customer to complete a survey and share how satisfied they are with how we handled their complaint.  Every complainant is invited to complete the survey by phone or email. The survey was completed by 1</w:t>
            </w:r>
            <w:r w:rsidR="0033479D" w:rsidRPr="0009691C">
              <w:rPr>
                <w:rFonts w:ascii="Work Sans" w:hAnsi="Work Sans"/>
              </w:rPr>
              <w:t>05</w:t>
            </w:r>
            <w:r w:rsidRPr="0009691C">
              <w:rPr>
                <w:rFonts w:ascii="Work Sans" w:hAnsi="Work Sans"/>
              </w:rPr>
              <w:t xml:space="preserve"> people, 3</w:t>
            </w:r>
            <w:r w:rsidR="0033479D" w:rsidRPr="0009691C">
              <w:rPr>
                <w:rFonts w:ascii="Work Sans" w:hAnsi="Work Sans"/>
              </w:rPr>
              <w:t>0</w:t>
            </w:r>
            <w:r w:rsidRPr="0009691C">
              <w:rPr>
                <w:rFonts w:ascii="Work Sans" w:hAnsi="Work Sans"/>
              </w:rPr>
              <w:t>% of all those who received a response to a complaint in 202</w:t>
            </w:r>
            <w:r w:rsidR="0033479D" w:rsidRPr="0009691C">
              <w:rPr>
                <w:rFonts w:ascii="Work Sans" w:hAnsi="Work Sans"/>
              </w:rPr>
              <w:t>5</w:t>
            </w:r>
            <w:r w:rsidRPr="0009691C">
              <w:rPr>
                <w:rFonts w:ascii="Work Sans" w:hAnsi="Work Sans"/>
              </w:rPr>
              <w:t>/2</w:t>
            </w:r>
            <w:r w:rsidR="0033479D" w:rsidRPr="0009691C">
              <w:rPr>
                <w:rFonts w:ascii="Work Sans" w:hAnsi="Work Sans"/>
              </w:rPr>
              <w:t>6</w:t>
            </w:r>
            <w:r w:rsidRPr="0009691C">
              <w:rPr>
                <w:rFonts w:ascii="Work Sans" w:hAnsi="Work Sans"/>
              </w:rPr>
              <w:t>.</w:t>
            </w:r>
          </w:p>
          <w:p w14:paraId="567E7C56" w14:textId="78A8E46A" w:rsidR="00B659ED" w:rsidRPr="0009691C" w:rsidRDefault="00AE37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first question customers are asked is, ‘Overall, how satisfied were you with the way your complaint was handled?’ </w:t>
            </w:r>
            <w:r w:rsidR="00B659ED" w:rsidRPr="0009691C">
              <w:rPr>
                <w:rFonts w:ascii="Work Sans" w:hAnsi="Work Sans"/>
              </w:rPr>
              <w:t xml:space="preserve">Overall satisfaction with how we handled complaints was </w:t>
            </w:r>
            <w:r w:rsidR="0033479D" w:rsidRPr="0009691C">
              <w:rPr>
                <w:rFonts w:ascii="Work Sans" w:hAnsi="Work Sans"/>
              </w:rPr>
              <w:t>76</w:t>
            </w:r>
            <w:r w:rsidR="00B659ED" w:rsidRPr="0009691C">
              <w:rPr>
                <w:rFonts w:ascii="Work Sans" w:hAnsi="Work Sans"/>
              </w:rPr>
              <w:t xml:space="preserve">%.  The table below shows satisfaction data over the past five years. </w:t>
            </w:r>
          </w:p>
          <w:p w14:paraId="4D74D3F2" w14:textId="042B77F8" w:rsidR="00B659ED" w:rsidRPr="0009691C" w:rsidRDefault="009C4650" w:rsidP="00B659ED">
            <w:pPr>
              <w:ind w:left="709"/>
              <w:rPr>
                <w:rFonts w:ascii="Work Sans" w:hAnsi="Work Sans"/>
              </w:rPr>
            </w:pPr>
            <w:r w:rsidRPr="0009691C">
              <w:rPr>
                <w:noProof/>
              </w:rPr>
              <w:drawing>
                <wp:inline distT="0" distB="0" distL="0" distR="0" wp14:anchorId="12A62AB5" wp14:editId="0BC10B6B">
                  <wp:extent cx="6344285" cy="3425190"/>
                  <wp:effectExtent l="0" t="0" r="0" b="3810"/>
                  <wp:docPr id="1926974327" name="Chart 1">
                    <a:extLst xmlns:a="http://schemas.openxmlformats.org/drawingml/2006/main">
                      <a:ext uri="{FF2B5EF4-FFF2-40B4-BE49-F238E27FC236}">
                        <a16:creationId xmlns:a16="http://schemas.microsoft.com/office/drawing/2014/main" id="{83AD02F7-FF5A-4468-8F7B-91D92A95F1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F3C98D" w14:textId="20F6E5B3" w:rsidR="00B659ED" w:rsidRPr="0009691C" w:rsidRDefault="00B659ED" w:rsidP="00B659ED">
            <w:pPr>
              <w:jc w:val="center"/>
              <w:rPr>
                <w:rFonts w:ascii="Work Sans" w:hAnsi="Work Sans"/>
              </w:rPr>
            </w:pPr>
          </w:p>
          <w:p w14:paraId="2D15FE6A" w14:textId="456971B4" w:rsidR="00B659ED" w:rsidRPr="0009691C" w:rsidRDefault="006439AA"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C</w:t>
            </w:r>
            <w:r w:rsidR="00AE37ED" w:rsidRPr="0009691C">
              <w:rPr>
                <w:rFonts w:ascii="Work Sans" w:hAnsi="Work Sans"/>
              </w:rPr>
              <w:t xml:space="preserve">ustomer </w:t>
            </w:r>
            <w:r w:rsidRPr="0009691C">
              <w:rPr>
                <w:rFonts w:ascii="Work Sans" w:hAnsi="Work Sans"/>
              </w:rPr>
              <w:t xml:space="preserve">are given </w:t>
            </w:r>
            <w:r w:rsidR="00AE37ED" w:rsidRPr="0009691C">
              <w:rPr>
                <w:rFonts w:ascii="Work Sans" w:hAnsi="Work Sans"/>
              </w:rPr>
              <w:t>the opportunity to share more detail about their experience</w:t>
            </w:r>
            <w:r w:rsidRPr="0009691C">
              <w:rPr>
                <w:rFonts w:ascii="Work Sans" w:hAnsi="Work Sans"/>
              </w:rPr>
              <w:t xml:space="preserve"> by answering the</w:t>
            </w:r>
            <w:r w:rsidR="00AE37ED" w:rsidRPr="0009691C">
              <w:rPr>
                <w:rFonts w:ascii="Work Sans" w:hAnsi="Work Sans"/>
              </w:rPr>
              <w:t xml:space="preserve"> following questions: </w:t>
            </w:r>
            <w:r w:rsidR="00B659ED" w:rsidRPr="0009691C">
              <w:rPr>
                <w:rFonts w:ascii="Work Sans" w:hAnsi="Work Sans"/>
              </w:rPr>
              <w:t xml:space="preserve"> </w:t>
            </w:r>
          </w:p>
          <w:p w14:paraId="3FCDE859" w14:textId="77777777" w:rsidR="00B659ED" w:rsidRPr="0009691C" w:rsidRDefault="00B659ED" w:rsidP="00B94B6D">
            <w:pPr>
              <w:pStyle w:val="ListParagraph"/>
              <w:numPr>
                <w:ilvl w:val="1"/>
                <w:numId w:val="7"/>
              </w:numPr>
              <w:ind w:left="1151" w:hanging="357"/>
              <w:contextualSpacing w:val="0"/>
              <w:jc w:val="both"/>
              <w:rPr>
                <w:rFonts w:ascii="Work Sans" w:hAnsi="Work Sans"/>
              </w:rPr>
            </w:pPr>
            <w:r w:rsidRPr="0009691C">
              <w:rPr>
                <w:rFonts w:ascii="Work Sans" w:hAnsi="Work Sans"/>
              </w:rPr>
              <w:t>did we understand the issue?</w:t>
            </w:r>
          </w:p>
          <w:p w14:paraId="59576EE1" w14:textId="77777777" w:rsidR="00B659ED" w:rsidRPr="0009691C" w:rsidRDefault="00B659ED" w:rsidP="00B94B6D">
            <w:pPr>
              <w:pStyle w:val="ListParagraph"/>
              <w:numPr>
                <w:ilvl w:val="1"/>
                <w:numId w:val="7"/>
              </w:numPr>
              <w:ind w:left="1151" w:hanging="357"/>
              <w:contextualSpacing w:val="0"/>
              <w:jc w:val="both"/>
              <w:rPr>
                <w:rFonts w:ascii="Work Sans" w:hAnsi="Work Sans"/>
              </w:rPr>
            </w:pPr>
            <w:r w:rsidRPr="0009691C">
              <w:rPr>
                <w:rFonts w:ascii="Work Sans" w:hAnsi="Work Sans"/>
              </w:rPr>
              <w:t>did we treat the resident with respect throughout the process?</w:t>
            </w:r>
          </w:p>
          <w:p w14:paraId="0A4591B2" w14:textId="77777777" w:rsidR="00B659ED" w:rsidRPr="0009691C" w:rsidRDefault="00B659ED" w:rsidP="00B94B6D">
            <w:pPr>
              <w:pStyle w:val="ListParagraph"/>
              <w:numPr>
                <w:ilvl w:val="1"/>
                <w:numId w:val="7"/>
              </w:numPr>
              <w:ind w:left="1151" w:hanging="357"/>
              <w:contextualSpacing w:val="0"/>
              <w:jc w:val="both"/>
              <w:rPr>
                <w:rFonts w:ascii="Work Sans" w:hAnsi="Work Sans"/>
              </w:rPr>
            </w:pPr>
            <w:r w:rsidRPr="0009691C">
              <w:rPr>
                <w:rFonts w:ascii="Work Sans" w:hAnsi="Work Sans"/>
              </w:rPr>
              <w:t>did we keep them informed of the progress of their complaint?</w:t>
            </w:r>
          </w:p>
          <w:p w14:paraId="29F318FB" w14:textId="77777777" w:rsidR="00B659ED" w:rsidRPr="0009691C" w:rsidRDefault="00B659ED" w:rsidP="00B94B6D">
            <w:pPr>
              <w:pStyle w:val="ListParagraph"/>
              <w:numPr>
                <w:ilvl w:val="1"/>
                <w:numId w:val="7"/>
              </w:numPr>
              <w:ind w:left="1151" w:hanging="357"/>
              <w:contextualSpacing w:val="0"/>
              <w:jc w:val="both"/>
              <w:rPr>
                <w:rFonts w:ascii="Work Sans" w:hAnsi="Work Sans"/>
              </w:rPr>
            </w:pPr>
            <w:r w:rsidRPr="0009691C">
              <w:rPr>
                <w:rFonts w:ascii="Work Sans" w:hAnsi="Work Sans"/>
              </w:rPr>
              <w:t>how easy was it to make a complaint?</w:t>
            </w:r>
          </w:p>
          <w:p w14:paraId="6E121B50" w14:textId="77777777" w:rsidR="00B659ED" w:rsidRPr="0009691C" w:rsidRDefault="00B659ED" w:rsidP="00B94B6D">
            <w:pPr>
              <w:pStyle w:val="ListParagraph"/>
              <w:numPr>
                <w:ilvl w:val="1"/>
                <w:numId w:val="7"/>
              </w:numPr>
              <w:ind w:left="1151" w:hanging="357"/>
              <w:contextualSpacing w:val="0"/>
              <w:jc w:val="both"/>
              <w:rPr>
                <w:rFonts w:ascii="Work Sans" w:hAnsi="Work Sans"/>
              </w:rPr>
            </w:pPr>
            <w:r w:rsidRPr="0009691C">
              <w:rPr>
                <w:rFonts w:ascii="Work Sans" w:hAnsi="Work Sans"/>
              </w:rPr>
              <w:t>the speed of our response?</w:t>
            </w:r>
          </w:p>
          <w:p w14:paraId="47AECCDD" w14:textId="77777777" w:rsidR="00B659ED" w:rsidRPr="0009691C" w:rsidRDefault="00B659ED" w:rsidP="00B94B6D">
            <w:pPr>
              <w:pStyle w:val="ListParagraph"/>
              <w:numPr>
                <w:ilvl w:val="1"/>
                <w:numId w:val="7"/>
              </w:numPr>
              <w:ind w:left="1151" w:hanging="357"/>
              <w:contextualSpacing w:val="0"/>
              <w:jc w:val="both"/>
              <w:rPr>
                <w:rFonts w:ascii="Work Sans" w:hAnsi="Work Sans"/>
              </w:rPr>
            </w:pPr>
            <w:r w:rsidRPr="0009691C">
              <w:rPr>
                <w:rFonts w:ascii="Work Sans" w:hAnsi="Work Sans"/>
              </w:rPr>
              <w:t>satisfaction with the overall outcome?</w:t>
            </w:r>
          </w:p>
          <w:p w14:paraId="17F61D6B" w14:textId="1C9F3406" w:rsidR="00B659ED" w:rsidRPr="0009691C" w:rsidRDefault="006439AA"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P</w:t>
            </w:r>
            <w:r w:rsidR="00B659ED" w:rsidRPr="0009691C">
              <w:rPr>
                <w:rFonts w:ascii="Work Sans" w:hAnsi="Work Sans"/>
              </w:rPr>
              <w:t>erformance across the six questions is shown in the graph below.</w:t>
            </w:r>
          </w:p>
          <w:p w14:paraId="57D35142" w14:textId="77777777" w:rsidR="00B659ED" w:rsidRPr="0009691C" w:rsidRDefault="00B659ED" w:rsidP="00B659ED">
            <w:pPr>
              <w:rPr>
                <w:rFonts w:ascii="Work Sans" w:hAnsi="Work Sans"/>
              </w:rPr>
            </w:pPr>
          </w:p>
          <w:p w14:paraId="60E14470" w14:textId="15133C5F" w:rsidR="00B659ED" w:rsidRPr="0009691C" w:rsidRDefault="001E3710" w:rsidP="00B659ED">
            <w:pPr>
              <w:jc w:val="center"/>
              <w:rPr>
                <w:rFonts w:ascii="Work Sans" w:hAnsi="Work Sans"/>
              </w:rPr>
            </w:pPr>
            <w:r w:rsidRPr="0009691C">
              <w:rPr>
                <w:noProof/>
              </w:rPr>
              <w:drawing>
                <wp:inline distT="0" distB="0" distL="0" distR="0" wp14:anchorId="1DFFB2B3" wp14:editId="75773A9E">
                  <wp:extent cx="6344285" cy="4759960"/>
                  <wp:effectExtent l="0" t="0" r="18415" b="2540"/>
                  <wp:docPr id="673552185" name="Chart 1">
                    <a:extLst xmlns:a="http://schemas.openxmlformats.org/drawingml/2006/main">
                      <a:ext uri="{FF2B5EF4-FFF2-40B4-BE49-F238E27FC236}">
                        <a16:creationId xmlns:a16="http://schemas.microsoft.com/office/drawing/2014/main" id="{C14FCDDB-28AC-081E-2814-620766179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D0B795E" w14:textId="77777777" w:rsidR="00B659ED" w:rsidRPr="0009691C" w:rsidRDefault="00B659ED" w:rsidP="00B659ED">
            <w:pPr>
              <w:rPr>
                <w:rFonts w:ascii="Work Sans" w:hAnsi="Work Sans"/>
              </w:rPr>
            </w:pPr>
          </w:p>
          <w:p w14:paraId="43782FD4" w14:textId="77777777" w:rsidR="00EB5FB9" w:rsidRPr="0009691C" w:rsidRDefault="00CC020A"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Customer satisfaction remains broadly stable across all survey questions, maintaining a consistently high level of satisfaction. </w:t>
            </w:r>
            <w:r w:rsidRPr="0009691C">
              <w:rPr>
                <w:rFonts w:ascii="Work Sans" w:hAnsi="Work Sans"/>
                <w:i/>
                <w:iCs/>
              </w:rPr>
              <w:t>Being treated with respect</w:t>
            </w:r>
            <w:r w:rsidRPr="0009691C">
              <w:rPr>
                <w:rFonts w:ascii="Work Sans" w:hAnsi="Work Sans"/>
              </w:rPr>
              <w:t xml:space="preserve"> continues to be the strongest area in 2025/26 at 87%. Improvements have also been seen in both </w:t>
            </w:r>
            <w:r w:rsidRPr="0009691C">
              <w:rPr>
                <w:rFonts w:ascii="Work Sans" w:hAnsi="Work Sans"/>
                <w:i/>
                <w:iCs/>
              </w:rPr>
              <w:t>ease of making a complaint</w:t>
            </w:r>
            <w:r w:rsidRPr="0009691C">
              <w:rPr>
                <w:rFonts w:ascii="Work Sans" w:hAnsi="Work Sans"/>
              </w:rPr>
              <w:t xml:space="preserve"> and </w:t>
            </w:r>
            <w:r w:rsidRPr="0009691C">
              <w:rPr>
                <w:rFonts w:ascii="Work Sans" w:hAnsi="Work Sans"/>
                <w:i/>
                <w:iCs/>
              </w:rPr>
              <w:t>speed of our response</w:t>
            </w:r>
            <w:r w:rsidRPr="0009691C">
              <w:rPr>
                <w:rFonts w:ascii="Work Sans" w:hAnsi="Work Sans"/>
              </w:rPr>
              <w:t xml:space="preserve">, with satisfaction </w:t>
            </w:r>
            <w:r w:rsidR="001F7A04" w:rsidRPr="0009691C">
              <w:rPr>
                <w:rFonts w:ascii="Work Sans" w:hAnsi="Work Sans"/>
              </w:rPr>
              <w:t xml:space="preserve">for the later </w:t>
            </w:r>
            <w:r w:rsidRPr="0009691C">
              <w:rPr>
                <w:rFonts w:ascii="Work Sans" w:hAnsi="Work Sans"/>
              </w:rPr>
              <w:t xml:space="preserve">increasing to 80% in 2025/26, compared to 76% in 2024/25. This improvement is particularly noteworthy given the increase in complaint volumes and reflects the work undertaken to centralise </w:t>
            </w:r>
            <w:r w:rsidR="001F7A04" w:rsidRPr="0009691C">
              <w:rPr>
                <w:rFonts w:ascii="Work Sans" w:hAnsi="Work Sans"/>
              </w:rPr>
              <w:t xml:space="preserve">complaints and </w:t>
            </w:r>
            <w:r w:rsidR="00C335F7" w:rsidRPr="0009691C">
              <w:rPr>
                <w:rFonts w:ascii="Work Sans" w:hAnsi="Work Sans"/>
              </w:rPr>
              <w:t xml:space="preserve">improvements to </w:t>
            </w:r>
            <w:r w:rsidRPr="0009691C">
              <w:rPr>
                <w:rFonts w:ascii="Work Sans" w:hAnsi="Work Sans"/>
              </w:rPr>
              <w:t>the handling of complaints</w:t>
            </w:r>
            <w:r w:rsidR="00C335F7" w:rsidRPr="0009691C">
              <w:rPr>
                <w:rFonts w:ascii="Work Sans" w:hAnsi="Work Sans"/>
              </w:rPr>
              <w:t>.</w:t>
            </w:r>
          </w:p>
          <w:p w14:paraId="0FF1F073" w14:textId="75D6F2F6" w:rsidR="00E03C99" w:rsidRPr="0009691C" w:rsidRDefault="00EB5FB9"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Satisfaction with the </w:t>
            </w:r>
            <w:r w:rsidRPr="0009691C">
              <w:rPr>
                <w:rFonts w:ascii="Work Sans" w:hAnsi="Work Sans"/>
                <w:i/>
                <w:iCs/>
              </w:rPr>
              <w:t>overall outcome of complaints</w:t>
            </w:r>
            <w:r w:rsidRPr="0009691C">
              <w:rPr>
                <w:rFonts w:ascii="Work Sans" w:hAnsi="Work Sans"/>
              </w:rPr>
              <w:t xml:space="preserve"> was 70% in 2025/26, representing an improvement compared to 2023/24 (67%), although slightly lower than the previous year. </w:t>
            </w:r>
            <w:r w:rsidR="006C3CF5" w:rsidRPr="0009691C">
              <w:rPr>
                <w:rFonts w:ascii="Work Sans" w:hAnsi="Work Sans"/>
              </w:rPr>
              <w:t>This is an area we will continue to monitor</w:t>
            </w:r>
            <w:r w:rsidRPr="0009691C">
              <w:rPr>
                <w:rFonts w:ascii="Work Sans" w:hAnsi="Work Sans"/>
              </w:rPr>
              <w:t xml:space="preserve"> to further improve the consistency of complaint outcomes.</w:t>
            </w:r>
          </w:p>
          <w:p w14:paraId="223C7F08" w14:textId="0C20369D" w:rsidR="00C705AE" w:rsidRDefault="00EB5FB9" w:rsidP="00C705AE">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Satisfaction relating to </w:t>
            </w:r>
            <w:r w:rsidRPr="0009691C">
              <w:rPr>
                <w:rFonts w:ascii="Work Sans" w:hAnsi="Work Sans"/>
                <w:i/>
                <w:iCs/>
              </w:rPr>
              <w:t>understanding the issue</w:t>
            </w:r>
            <w:r w:rsidRPr="0009691C">
              <w:rPr>
                <w:rFonts w:ascii="Work Sans" w:hAnsi="Work Sans"/>
              </w:rPr>
              <w:t xml:space="preserve"> and </w:t>
            </w:r>
            <w:r w:rsidRPr="0009691C">
              <w:rPr>
                <w:rFonts w:ascii="Work Sans" w:hAnsi="Work Sans"/>
                <w:i/>
                <w:iCs/>
              </w:rPr>
              <w:t>being kept informed</w:t>
            </w:r>
            <w:r w:rsidRPr="0009691C">
              <w:rPr>
                <w:rFonts w:ascii="Work Sans" w:hAnsi="Work Sans"/>
              </w:rPr>
              <w:t xml:space="preserve"> has declined slightly over time. While these reductions are small, </w:t>
            </w:r>
            <w:r w:rsidR="003005AD" w:rsidRPr="0009691C">
              <w:rPr>
                <w:rFonts w:ascii="Work Sans" w:hAnsi="Work Sans"/>
              </w:rPr>
              <w:t>this is an area we will continue to monitor.</w:t>
            </w:r>
            <w:r w:rsidRPr="0009691C">
              <w:rPr>
                <w:rFonts w:ascii="Work Sans" w:hAnsi="Work Sans"/>
              </w:rPr>
              <w:t xml:space="preserve"> Ongoing training and support for complaint owners </w:t>
            </w:r>
            <w:r w:rsidR="00676A83" w:rsidRPr="0009691C">
              <w:rPr>
                <w:rFonts w:ascii="Work Sans" w:hAnsi="Work Sans"/>
              </w:rPr>
              <w:t>continues to be important</w:t>
            </w:r>
            <w:r w:rsidRPr="0009691C">
              <w:rPr>
                <w:rFonts w:ascii="Work Sans" w:hAnsi="Work Sans"/>
              </w:rPr>
              <w:t xml:space="preserve"> in strengthening clarity, decision</w:t>
            </w:r>
            <w:r w:rsidRPr="0009691C">
              <w:rPr>
                <w:rFonts w:ascii="Cambria Math" w:hAnsi="Cambria Math" w:cs="Cambria Math"/>
              </w:rPr>
              <w:t>‑</w:t>
            </w:r>
            <w:r w:rsidRPr="0009691C">
              <w:rPr>
                <w:rFonts w:ascii="Work Sans" w:hAnsi="Work Sans"/>
              </w:rPr>
              <w:t>making, and customer confidence in the outcomes provided.</w:t>
            </w:r>
            <w:r w:rsidR="00B659ED" w:rsidRPr="0009691C">
              <w:rPr>
                <w:rFonts w:ascii="Work Sans" w:hAnsi="Work Sans"/>
              </w:rPr>
              <w:t xml:space="preserve"> </w:t>
            </w:r>
          </w:p>
          <w:p w14:paraId="05E212AD" w14:textId="6B51FDB8" w:rsidR="00C705AE" w:rsidRPr="00C705AE" w:rsidRDefault="00B659ED" w:rsidP="00C705AE">
            <w:pPr>
              <w:pStyle w:val="ListParagraph"/>
              <w:spacing w:before="60" w:after="120"/>
              <w:ind w:left="794"/>
              <w:contextualSpacing w:val="0"/>
              <w:jc w:val="both"/>
              <w:rPr>
                <w:rFonts w:ascii="Work Sans" w:hAnsi="Work Sans"/>
              </w:rPr>
            </w:pPr>
            <w:r w:rsidRPr="00C705AE">
              <w:rPr>
                <w:rFonts w:ascii="Work Sans" w:hAnsi="Work Sans"/>
                <w:b/>
                <w:bCs/>
              </w:rPr>
              <w:t>Improving Complaint Handling Performance</w:t>
            </w:r>
          </w:p>
          <w:p w14:paraId="4CF3363D" w14:textId="6B3D9939" w:rsidR="00B659ED" w:rsidRPr="00C705AE" w:rsidRDefault="00B659ED" w:rsidP="00C705AE">
            <w:pPr>
              <w:pStyle w:val="ListParagraph"/>
              <w:numPr>
                <w:ilvl w:val="1"/>
                <w:numId w:val="1"/>
              </w:numPr>
              <w:spacing w:before="60" w:after="120"/>
              <w:ind w:left="794" w:hanging="794"/>
              <w:contextualSpacing w:val="0"/>
              <w:jc w:val="both"/>
              <w:rPr>
                <w:rFonts w:ascii="Work Sans" w:hAnsi="Work Sans"/>
              </w:rPr>
            </w:pPr>
            <w:r w:rsidRPr="00C705AE">
              <w:rPr>
                <w:rFonts w:ascii="Work Sans" w:hAnsi="Work Sans"/>
              </w:rPr>
              <w:t>In 202</w:t>
            </w:r>
            <w:r w:rsidR="00DA0435" w:rsidRPr="00C705AE">
              <w:rPr>
                <w:rFonts w:ascii="Work Sans" w:hAnsi="Work Sans"/>
              </w:rPr>
              <w:t>5</w:t>
            </w:r>
            <w:r w:rsidRPr="00C705AE">
              <w:rPr>
                <w:rFonts w:ascii="Work Sans" w:hAnsi="Work Sans"/>
              </w:rPr>
              <w:t>/2</w:t>
            </w:r>
            <w:r w:rsidR="00DA0435" w:rsidRPr="00C705AE">
              <w:rPr>
                <w:rFonts w:ascii="Work Sans" w:hAnsi="Work Sans"/>
              </w:rPr>
              <w:t>6</w:t>
            </w:r>
            <w:r w:rsidRPr="00C705AE">
              <w:rPr>
                <w:rFonts w:ascii="Work Sans" w:hAnsi="Work Sans"/>
              </w:rPr>
              <w:t xml:space="preserve"> to </w:t>
            </w:r>
            <w:r w:rsidR="000D557F" w:rsidRPr="00C705AE">
              <w:rPr>
                <w:rFonts w:ascii="Work Sans" w:hAnsi="Work Sans"/>
              </w:rPr>
              <w:t xml:space="preserve">facilitate </w:t>
            </w:r>
            <w:r w:rsidRPr="00C705AE">
              <w:rPr>
                <w:rFonts w:ascii="Work Sans" w:hAnsi="Work Sans"/>
              </w:rPr>
              <w:t>improving complaint handling performance, we have:</w:t>
            </w:r>
          </w:p>
          <w:p w14:paraId="29748F43" w14:textId="77777777" w:rsidR="00B659ED" w:rsidRPr="0009691C" w:rsidRDefault="00B659ED" w:rsidP="00B94B6D">
            <w:pPr>
              <w:pStyle w:val="ListParagraph"/>
              <w:numPr>
                <w:ilvl w:val="1"/>
                <w:numId w:val="9"/>
              </w:numPr>
              <w:ind w:left="1151" w:hanging="357"/>
              <w:contextualSpacing w:val="0"/>
              <w:jc w:val="both"/>
              <w:rPr>
                <w:rFonts w:ascii="Work Sans" w:hAnsi="Work Sans"/>
              </w:rPr>
            </w:pPr>
            <w:r w:rsidRPr="0009691C">
              <w:rPr>
                <w:rFonts w:ascii="Work Sans" w:hAnsi="Work Sans"/>
              </w:rPr>
              <w:t>shared details of live complaints and reviews to ensure complaint volumes and performance is clear,</w:t>
            </w:r>
          </w:p>
          <w:p w14:paraId="77A8D3A7" w14:textId="77777777" w:rsidR="00B659ED" w:rsidRPr="0009691C" w:rsidRDefault="00B659ED" w:rsidP="00B94B6D">
            <w:pPr>
              <w:pStyle w:val="ListParagraph"/>
              <w:numPr>
                <w:ilvl w:val="1"/>
                <w:numId w:val="9"/>
              </w:numPr>
              <w:ind w:left="1151" w:hanging="357"/>
              <w:contextualSpacing w:val="0"/>
              <w:jc w:val="both"/>
              <w:rPr>
                <w:rFonts w:ascii="Work Sans" w:hAnsi="Work Sans"/>
              </w:rPr>
            </w:pPr>
            <w:r w:rsidRPr="0009691C">
              <w:rPr>
                <w:rFonts w:ascii="Work Sans" w:hAnsi="Work Sans"/>
              </w:rPr>
              <w:t>made complaint data and performance more visible to managers and complaint owners by sharing a monthly email containing themes, learning and areas for improvement,</w:t>
            </w:r>
          </w:p>
          <w:p w14:paraId="44E6C717" w14:textId="4ABED6D2" w:rsidR="00991630" w:rsidRPr="0009691C" w:rsidRDefault="00B659ED" w:rsidP="00B94B6D">
            <w:pPr>
              <w:pStyle w:val="ListParagraph"/>
              <w:numPr>
                <w:ilvl w:val="1"/>
                <w:numId w:val="9"/>
              </w:numPr>
              <w:ind w:left="1151" w:hanging="357"/>
              <w:contextualSpacing w:val="0"/>
              <w:jc w:val="both"/>
              <w:rPr>
                <w:rFonts w:ascii="Work Sans" w:hAnsi="Work Sans"/>
              </w:rPr>
            </w:pPr>
            <w:r w:rsidRPr="0009691C">
              <w:rPr>
                <w:rFonts w:ascii="Work Sans" w:hAnsi="Work Sans"/>
              </w:rPr>
              <w:t>continued to work with and support the Member Responsible for Complaints</w:t>
            </w:r>
            <w:r w:rsidR="00F77C3A" w:rsidRPr="0009691C">
              <w:rPr>
                <w:rFonts w:ascii="Work Sans" w:hAnsi="Work Sans"/>
              </w:rPr>
              <w:t xml:space="preserve"> (MRC)</w:t>
            </w:r>
            <w:r w:rsidRPr="0009691C">
              <w:rPr>
                <w:rFonts w:ascii="Work Sans" w:hAnsi="Work Sans"/>
              </w:rPr>
              <w:t xml:space="preserve"> by having a monthly meeting to review performance data and insight,  </w:t>
            </w:r>
          </w:p>
          <w:p w14:paraId="406AD7E6" w14:textId="77777777" w:rsidR="003600B4" w:rsidRPr="0009691C" w:rsidRDefault="00991630">
            <w:pPr>
              <w:pStyle w:val="ListParagraph"/>
              <w:numPr>
                <w:ilvl w:val="1"/>
                <w:numId w:val="9"/>
              </w:numPr>
              <w:ind w:left="1151" w:hanging="357"/>
              <w:contextualSpacing w:val="0"/>
              <w:jc w:val="both"/>
              <w:rPr>
                <w:rFonts w:ascii="Work Sans" w:hAnsi="Work Sans"/>
              </w:rPr>
            </w:pPr>
            <w:r w:rsidRPr="0009691C">
              <w:rPr>
                <w:rFonts w:ascii="Work Sans" w:hAnsi="Work Sans"/>
              </w:rPr>
              <w:t>The MR</w:t>
            </w:r>
            <w:r w:rsidR="00B42879" w:rsidRPr="0009691C">
              <w:rPr>
                <w:rFonts w:ascii="Work Sans" w:hAnsi="Work Sans"/>
              </w:rPr>
              <w:t>C</w:t>
            </w:r>
            <w:r w:rsidR="00B659ED" w:rsidRPr="0009691C">
              <w:rPr>
                <w:rFonts w:ascii="Work Sans" w:hAnsi="Work Sans"/>
              </w:rPr>
              <w:t xml:space="preserve"> </w:t>
            </w:r>
            <w:r w:rsidR="00F77C3A" w:rsidRPr="0009691C">
              <w:rPr>
                <w:rFonts w:ascii="Work Sans" w:hAnsi="Work Sans"/>
              </w:rPr>
              <w:t xml:space="preserve">has spent time in the Customer Experience Department listening to complaint calls from </w:t>
            </w:r>
            <w:r w:rsidR="00DA0435" w:rsidRPr="0009691C">
              <w:rPr>
                <w:rFonts w:ascii="Work Sans" w:hAnsi="Work Sans"/>
              </w:rPr>
              <w:t>the initial contact</w:t>
            </w:r>
            <w:r w:rsidR="003B764B" w:rsidRPr="0009691C">
              <w:rPr>
                <w:rFonts w:ascii="Work Sans" w:hAnsi="Work Sans"/>
              </w:rPr>
              <w:t xml:space="preserve">, </w:t>
            </w:r>
            <w:r w:rsidR="003600B4" w:rsidRPr="0009691C">
              <w:rPr>
                <w:rFonts w:ascii="Work Sans" w:hAnsi="Work Sans"/>
              </w:rPr>
              <w:t xml:space="preserve">responding to the complaint and the follow up Complaint Handling Satisfaction survey.  </w:t>
            </w:r>
          </w:p>
          <w:p w14:paraId="22A70535" w14:textId="1970AF23" w:rsidR="00B659ED" w:rsidRPr="0009691C" w:rsidRDefault="047A029A">
            <w:pPr>
              <w:pStyle w:val="ListParagraph"/>
              <w:numPr>
                <w:ilvl w:val="1"/>
                <w:numId w:val="9"/>
              </w:numPr>
              <w:ind w:left="1151" w:hanging="357"/>
              <w:contextualSpacing w:val="0"/>
              <w:jc w:val="both"/>
              <w:rPr>
                <w:rFonts w:ascii="Work Sans" w:hAnsi="Work Sans"/>
              </w:rPr>
            </w:pPr>
            <w:r w:rsidRPr="0009691C">
              <w:rPr>
                <w:rFonts w:ascii="Work Sans" w:hAnsi="Work Sans"/>
              </w:rPr>
              <w:t>T</w:t>
            </w:r>
            <w:r w:rsidR="5AE98532" w:rsidRPr="0009691C">
              <w:rPr>
                <w:rFonts w:ascii="Work Sans" w:hAnsi="Work Sans"/>
              </w:rPr>
              <w:t>he</w:t>
            </w:r>
            <w:r w:rsidR="00B659ED" w:rsidRPr="0009691C">
              <w:rPr>
                <w:rFonts w:ascii="Work Sans" w:hAnsi="Work Sans"/>
              </w:rPr>
              <w:t xml:space="preserve"> Complaints Working Group </w:t>
            </w:r>
            <w:r w:rsidR="7B0CCC76" w:rsidRPr="0009691C">
              <w:rPr>
                <w:rFonts w:ascii="Work Sans" w:hAnsi="Work Sans"/>
              </w:rPr>
              <w:t>meets every 6 weeks, it</w:t>
            </w:r>
            <w:r w:rsidR="5AE98532" w:rsidRPr="0009691C">
              <w:rPr>
                <w:rFonts w:ascii="Work Sans" w:hAnsi="Work Sans"/>
              </w:rPr>
              <w:t xml:space="preserve"> draw</w:t>
            </w:r>
            <w:r w:rsidR="385787BD" w:rsidRPr="0009691C">
              <w:rPr>
                <w:rFonts w:ascii="Work Sans" w:hAnsi="Work Sans"/>
              </w:rPr>
              <w:t>s</w:t>
            </w:r>
            <w:r w:rsidR="00B659ED" w:rsidRPr="0009691C">
              <w:rPr>
                <w:rFonts w:ascii="Work Sans" w:hAnsi="Work Sans"/>
              </w:rPr>
              <w:t xml:space="preserve"> together key business areas and people to review performance data and themes to drive change,</w:t>
            </w:r>
          </w:p>
          <w:p w14:paraId="7C7F85D6" w14:textId="58FC0367" w:rsidR="00B659ED" w:rsidRPr="0009691C" w:rsidRDefault="7E26F890" w:rsidP="00B94B6D">
            <w:pPr>
              <w:pStyle w:val="ListParagraph"/>
              <w:numPr>
                <w:ilvl w:val="1"/>
                <w:numId w:val="9"/>
              </w:numPr>
              <w:ind w:left="1151" w:hanging="357"/>
              <w:contextualSpacing w:val="0"/>
              <w:jc w:val="both"/>
              <w:rPr>
                <w:rFonts w:ascii="Work Sans" w:hAnsi="Work Sans"/>
              </w:rPr>
            </w:pPr>
            <w:r w:rsidRPr="0009691C">
              <w:rPr>
                <w:rFonts w:ascii="Work Sans" w:hAnsi="Work Sans"/>
              </w:rPr>
              <w:t>M</w:t>
            </w:r>
            <w:r w:rsidR="5AE98532" w:rsidRPr="0009691C">
              <w:rPr>
                <w:rFonts w:ascii="Work Sans" w:hAnsi="Work Sans"/>
              </w:rPr>
              <w:t>onthly</w:t>
            </w:r>
            <w:r w:rsidR="00B659ED" w:rsidRPr="0009691C">
              <w:rPr>
                <w:rFonts w:ascii="Work Sans" w:hAnsi="Work Sans"/>
              </w:rPr>
              <w:t xml:space="preserve"> audits of complaint acknowledgments and complaint responses to ensure they comply with the Complaint Handling Code and to identify areas of improvement,  </w:t>
            </w:r>
          </w:p>
          <w:p w14:paraId="433E5CCD" w14:textId="17226ABC" w:rsidR="00B659ED" w:rsidRPr="0009691C" w:rsidRDefault="00FB424B" w:rsidP="00B94B6D">
            <w:pPr>
              <w:pStyle w:val="ListParagraph"/>
              <w:numPr>
                <w:ilvl w:val="1"/>
                <w:numId w:val="9"/>
              </w:numPr>
              <w:ind w:left="1151" w:hanging="357"/>
              <w:contextualSpacing w:val="0"/>
              <w:jc w:val="both"/>
              <w:rPr>
                <w:rFonts w:ascii="Work Sans" w:hAnsi="Work Sans"/>
              </w:rPr>
            </w:pPr>
            <w:r w:rsidRPr="0009691C">
              <w:rPr>
                <w:rFonts w:ascii="Work Sans" w:hAnsi="Work Sans"/>
              </w:rPr>
              <w:t>Continued to monitor extensions and the</w:t>
            </w:r>
            <w:r w:rsidR="00B659ED" w:rsidRPr="0009691C">
              <w:rPr>
                <w:rFonts w:ascii="Work Sans" w:hAnsi="Work Sans"/>
              </w:rPr>
              <w:t xml:space="preserve"> signing off extensions, </w:t>
            </w:r>
          </w:p>
          <w:p w14:paraId="4A7AFA44" w14:textId="2CA185E6" w:rsidR="00B659ED" w:rsidRPr="0009691C" w:rsidRDefault="00950C75" w:rsidP="00B94B6D">
            <w:pPr>
              <w:pStyle w:val="ListParagraph"/>
              <w:numPr>
                <w:ilvl w:val="1"/>
                <w:numId w:val="9"/>
              </w:numPr>
              <w:ind w:left="1151" w:hanging="357"/>
              <w:contextualSpacing w:val="0"/>
              <w:jc w:val="both"/>
              <w:rPr>
                <w:rFonts w:ascii="Work Sans" w:hAnsi="Work Sans"/>
              </w:rPr>
            </w:pPr>
            <w:r w:rsidRPr="0009691C">
              <w:rPr>
                <w:rFonts w:ascii="Work Sans" w:hAnsi="Work Sans"/>
              </w:rPr>
              <w:t xml:space="preserve">Continued to </w:t>
            </w:r>
            <w:r w:rsidR="00B659ED" w:rsidRPr="0009691C">
              <w:rPr>
                <w:rFonts w:ascii="Work Sans" w:hAnsi="Work Sans"/>
              </w:rPr>
              <w:t>record and track:</w:t>
            </w:r>
          </w:p>
          <w:p w14:paraId="6ADFDBB7" w14:textId="77777777" w:rsidR="00B659ED" w:rsidRPr="0009691C" w:rsidRDefault="00B659ED" w:rsidP="00B94B6D">
            <w:pPr>
              <w:pStyle w:val="ListParagraph"/>
              <w:numPr>
                <w:ilvl w:val="0"/>
                <w:numId w:val="8"/>
              </w:numPr>
              <w:ind w:left="1548" w:hanging="357"/>
              <w:jc w:val="both"/>
              <w:rPr>
                <w:rFonts w:ascii="Work Sans" w:hAnsi="Work Sans"/>
              </w:rPr>
            </w:pPr>
            <w:r w:rsidRPr="0009691C">
              <w:rPr>
                <w:rFonts w:ascii="Work Sans" w:hAnsi="Work Sans"/>
              </w:rPr>
              <w:t xml:space="preserve">exclusions, </w:t>
            </w:r>
          </w:p>
          <w:p w14:paraId="28FCF398" w14:textId="77777777" w:rsidR="00B659ED" w:rsidRPr="0009691C" w:rsidRDefault="00B659ED" w:rsidP="00B94B6D">
            <w:pPr>
              <w:pStyle w:val="ListParagraph"/>
              <w:numPr>
                <w:ilvl w:val="0"/>
                <w:numId w:val="8"/>
              </w:numPr>
              <w:ind w:left="1548" w:hanging="357"/>
              <w:jc w:val="both"/>
              <w:rPr>
                <w:rFonts w:ascii="Work Sans" w:hAnsi="Work Sans"/>
              </w:rPr>
            </w:pPr>
            <w:r w:rsidRPr="0009691C">
              <w:rPr>
                <w:rFonts w:ascii="Work Sans" w:hAnsi="Work Sans"/>
              </w:rPr>
              <w:t xml:space="preserve">extensions, </w:t>
            </w:r>
          </w:p>
          <w:p w14:paraId="0B19C84B" w14:textId="77777777" w:rsidR="00B659ED" w:rsidRPr="0009691C" w:rsidRDefault="00B659ED" w:rsidP="00B94B6D">
            <w:pPr>
              <w:pStyle w:val="ListParagraph"/>
              <w:numPr>
                <w:ilvl w:val="0"/>
                <w:numId w:val="8"/>
              </w:numPr>
              <w:ind w:left="1548" w:hanging="357"/>
              <w:jc w:val="both"/>
              <w:rPr>
                <w:rFonts w:ascii="Work Sans" w:hAnsi="Work Sans"/>
              </w:rPr>
            </w:pPr>
            <w:r w:rsidRPr="0009691C">
              <w:rPr>
                <w:rFonts w:ascii="Work Sans" w:hAnsi="Work Sans"/>
              </w:rPr>
              <w:t xml:space="preserve">and actions from complaints and reviews. </w:t>
            </w:r>
          </w:p>
          <w:p w14:paraId="77258FF4" w14:textId="49823992" w:rsidR="00B659ED" w:rsidRPr="004A685A" w:rsidRDefault="00333481" w:rsidP="002A32DA">
            <w:pPr>
              <w:pStyle w:val="ListParagraph"/>
              <w:numPr>
                <w:ilvl w:val="0"/>
                <w:numId w:val="8"/>
              </w:numPr>
              <w:ind w:left="1151" w:hanging="357"/>
              <w:jc w:val="both"/>
              <w:rPr>
                <w:rFonts w:ascii="Work Sans" w:hAnsi="Work Sans"/>
              </w:rPr>
            </w:pPr>
            <w:r w:rsidRPr="004A685A">
              <w:rPr>
                <w:rFonts w:ascii="Work Sans" w:hAnsi="Work Sans"/>
              </w:rPr>
              <w:t>Successfully</w:t>
            </w:r>
            <w:r w:rsidR="00C30459" w:rsidRPr="004A685A">
              <w:rPr>
                <w:rFonts w:ascii="Work Sans" w:hAnsi="Work Sans"/>
              </w:rPr>
              <w:t xml:space="preserve"> carried out </w:t>
            </w:r>
            <w:r w:rsidR="00B659ED" w:rsidRPr="004A685A">
              <w:rPr>
                <w:rFonts w:ascii="Work Sans" w:hAnsi="Work Sans"/>
              </w:rPr>
              <w:t>a 6-month pilot to provide additional resources for handling complaints in Property Services</w:t>
            </w:r>
            <w:r w:rsidR="004A685A" w:rsidRPr="004A685A">
              <w:rPr>
                <w:rFonts w:ascii="Work Sans" w:hAnsi="Work Sans"/>
              </w:rPr>
              <w:t xml:space="preserve"> and following this </w:t>
            </w:r>
            <w:r w:rsidR="0033497A" w:rsidRPr="004A685A">
              <w:rPr>
                <w:rFonts w:ascii="Work Sans" w:hAnsi="Work Sans"/>
              </w:rPr>
              <w:t>successful</w:t>
            </w:r>
            <w:r w:rsidR="008A4314" w:rsidRPr="004A685A">
              <w:rPr>
                <w:rFonts w:ascii="Work Sans" w:hAnsi="Work Sans"/>
              </w:rPr>
              <w:t xml:space="preserve"> pilot and </w:t>
            </w:r>
            <w:r w:rsidR="0033497A" w:rsidRPr="004A685A">
              <w:rPr>
                <w:rFonts w:ascii="Work Sans" w:hAnsi="Work Sans"/>
              </w:rPr>
              <w:t>workforce planning</w:t>
            </w:r>
            <w:r w:rsidR="008A4314" w:rsidRPr="004A685A">
              <w:rPr>
                <w:rFonts w:ascii="Work Sans" w:hAnsi="Work Sans"/>
              </w:rPr>
              <w:t>, Property Services complaints are now handle</w:t>
            </w:r>
            <w:r w:rsidR="00392B23" w:rsidRPr="004A685A">
              <w:rPr>
                <w:rFonts w:ascii="Work Sans" w:hAnsi="Work Sans"/>
              </w:rPr>
              <w:t>d by Customer Experience</w:t>
            </w:r>
            <w:r w:rsidR="0033497A" w:rsidRPr="004A685A">
              <w:rPr>
                <w:rFonts w:ascii="Work Sans" w:hAnsi="Work Sans"/>
              </w:rPr>
              <w:t xml:space="preserve">, improving </w:t>
            </w:r>
            <w:r w:rsidR="00DC7D04" w:rsidRPr="004A685A">
              <w:rPr>
                <w:rFonts w:ascii="Work Sans" w:hAnsi="Work Sans"/>
              </w:rPr>
              <w:t xml:space="preserve">consistency </w:t>
            </w:r>
            <w:r w:rsidR="0033497A" w:rsidRPr="004A685A">
              <w:rPr>
                <w:rFonts w:ascii="Work Sans" w:hAnsi="Work Sans"/>
              </w:rPr>
              <w:t>and handling quality</w:t>
            </w:r>
            <w:r w:rsidR="008A714B" w:rsidRPr="004A685A">
              <w:rPr>
                <w:rFonts w:ascii="Work Sans" w:hAnsi="Work Sans"/>
              </w:rPr>
              <w:t xml:space="preserve">. </w:t>
            </w:r>
          </w:p>
          <w:p w14:paraId="240FEB91" w14:textId="23E7616B" w:rsidR="004300EA" w:rsidRPr="0009691C" w:rsidRDefault="004300EA" w:rsidP="00B94B6D">
            <w:pPr>
              <w:pStyle w:val="ListParagraph"/>
              <w:numPr>
                <w:ilvl w:val="0"/>
                <w:numId w:val="8"/>
              </w:numPr>
              <w:ind w:left="1151" w:hanging="357"/>
              <w:jc w:val="both"/>
              <w:rPr>
                <w:rFonts w:ascii="Work Sans" w:hAnsi="Work Sans"/>
              </w:rPr>
            </w:pPr>
            <w:r w:rsidRPr="0009691C">
              <w:rPr>
                <w:rFonts w:ascii="Work Sans" w:hAnsi="Work Sans"/>
              </w:rPr>
              <w:t>Visited Extra Care Schemes</w:t>
            </w:r>
            <w:r w:rsidR="00735BB2" w:rsidRPr="0009691C">
              <w:rPr>
                <w:rFonts w:ascii="Work Sans" w:hAnsi="Work Sans"/>
              </w:rPr>
              <w:t xml:space="preserve"> and Auckley</w:t>
            </w:r>
            <w:r w:rsidR="008C41B9" w:rsidRPr="0009691C">
              <w:rPr>
                <w:rFonts w:ascii="Work Sans" w:hAnsi="Work Sans"/>
              </w:rPr>
              <w:t xml:space="preserve"> residents</w:t>
            </w:r>
            <w:r w:rsidR="003562A0" w:rsidRPr="0009691C">
              <w:rPr>
                <w:rFonts w:ascii="Work Sans" w:hAnsi="Work Sans"/>
              </w:rPr>
              <w:t xml:space="preserve">, </w:t>
            </w:r>
            <w:r w:rsidR="009746BF">
              <w:rPr>
                <w:rFonts w:ascii="Work Sans" w:hAnsi="Work Sans"/>
              </w:rPr>
              <w:t xml:space="preserve">having wider conversations with customers and </w:t>
            </w:r>
            <w:r w:rsidR="00ED61A7">
              <w:rPr>
                <w:rFonts w:ascii="Work Sans" w:hAnsi="Work Sans"/>
              </w:rPr>
              <w:t xml:space="preserve">resolving issues </w:t>
            </w:r>
            <w:r w:rsidR="009746BF">
              <w:rPr>
                <w:rFonts w:ascii="Work Sans" w:hAnsi="Work Sans"/>
              </w:rPr>
              <w:t>before they turn into complaints</w:t>
            </w:r>
            <w:r w:rsidR="004A685A">
              <w:rPr>
                <w:rFonts w:ascii="Work Sans" w:hAnsi="Work Sans"/>
              </w:rPr>
              <w:t>.</w:t>
            </w:r>
          </w:p>
          <w:p w14:paraId="506CD8AF" w14:textId="12363879" w:rsidR="006B6F93" w:rsidRPr="0009691C" w:rsidRDefault="00BC5EFD" w:rsidP="00B94B6D">
            <w:pPr>
              <w:pStyle w:val="ListParagraph"/>
              <w:numPr>
                <w:ilvl w:val="0"/>
                <w:numId w:val="8"/>
              </w:numPr>
              <w:ind w:left="1151" w:hanging="357"/>
              <w:jc w:val="both"/>
              <w:rPr>
                <w:rFonts w:ascii="Work Sans" w:hAnsi="Work Sans"/>
              </w:rPr>
            </w:pPr>
            <w:r w:rsidRPr="0009691C">
              <w:rPr>
                <w:rFonts w:ascii="Work Sans" w:hAnsi="Work Sans"/>
              </w:rPr>
              <w:t>The CET is w</w:t>
            </w:r>
            <w:r w:rsidR="006B6F93" w:rsidRPr="0009691C">
              <w:rPr>
                <w:rFonts w:ascii="Work Sans" w:hAnsi="Work Sans"/>
              </w:rPr>
              <w:t>orking closely with LiveWe</w:t>
            </w:r>
            <w:r w:rsidRPr="0009691C">
              <w:rPr>
                <w:rFonts w:ascii="Work Sans" w:hAnsi="Work Sans"/>
              </w:rPr>
              <w:t>ll</w:t>
            </w:r>
            <w:r w:rsidR="00090AE0" w:rsidRPr="0009691C">
              <w:rPr>
                <w:rFonts w:ascii="Work Sans" w:hAnsi="Work Sans"/>
              </w:rPr>
              <w:t xml:space="preserve"> to raise awareness of complaints</w:t>
            </w:r>
            <w:r w:rsidR="00A80CCE" w:rsidRPr="0009691C">
              <w:rPr>
                <w:rFonts w:ascii="Work Sans" w:hAnsi="Work Sans"/>
              </w:rPr>
              <w:t xml:space="preserve"> awareness among both staff and customers, ensuring that complaints are consistently identified, recorded and managed.</w:t>
            </w:r>
          </w:p>
          <w:p w14:paraId="77107202" w14:textId="18B2926A" w:rsidR="00B659ED" w:rsidRPr="0009691C" w:rsidRDefault="0064209E" w:rsidP="00B94B6D">
            <w:pPr>
              <w:pStyle w:val="ListParagraph"/>
              <w:numPr>
                <w:ilvl w:val="0"/>
                <w:numId w:val="8"/>
              </w:numPr>
              <w:ind w:left="1151" w:hanging="357"/>
              <w:jc w:val="both"/>
              <w:rPr>
                <w:rFonts w:ascii="Work Sans" w:hAnsi="Work Sans"/>
              </w:rPr>
            </w:pPr>
            <w:r w:rsidRPr="0009691C">
              <w:rPr>
                <w:rFonts w:ascii="Work Sans" w:hAnsi="Work Sans"/>
              </w:rPr>
              <w:t xml:space="preserve">Made </w:t>
            </w:r>
            <w:r w:rsidR="00A16BC4" w:rsidRPr="0009691C">
              <w:rPr>
                <w:rFonts w:ascii="Work Sans" w:hAnsi="Work Sans"/>
              </w:rPr>
              <w:t xml:space="preserve">improvements to the </w:t>
            </w:r>
            <w:proofErr w:type="spellStart"/>
            <w:r w:rsidR="00A16BC4" w:rsidRPr="0009691C">
              <w:rPr>
                <w:rFonts w:ascii="Work Sans" w:hAnsi="Work Sans"/>
              </w:rPr>
              <w:t>C</w:t>
            </w:r>
            <w:r w:rsidR="00687456">
              <w:rPr>
                <w:rFonts w:ascii="Work Sans" w:hAnsi="Work Sans"/>
              </w:rPr>
              <w:t>x</w:t>
            </w:r>
            <w:proofErr w:type="spellEnd"/>
            <w:r w:rsidR="00A16BC4" w:rsidRPr="0009691C">
              <w:rPr>
                <w:rFonts w:ascii="Work Sans" w:hAnsi="Work Sans"/>
              </w:rPr>
              <w:t xml:space="preserve"> Complaint</w:t>
            </w:r>
            <w:r w:rsidR="00DF6A6C" w:rsidRPr="0009691C">
              <w:rPr>
                <w:rFonts w:ascii="Work Sans" w:hAnsi="Work Sans"/>
              </w:rPr>
              <w:t xml:space="preserve"> case</w:t>
            </w:r>
            <w:r w:rsidR="00891D48">
              <w:rPr>
                <w:rFonts w:ascii="Work Sans" w:hAnsi="Work Sans"/>
              </w:rPr>
              <w:t xml:space="preserve"> to improve </w:t>
            </w:r>
            <w:r w:rsidR="00FC4581">
              <w:rPr>
                <w:rFonts w:ascii="Work Sans" w:hAnsi="Work Sans"/>
              </w:rPr>
              <w:t>case</w:t>
            </w:r>
            <w:r w:rsidR="00813DB4">
              <w:rPr>
                <w:rFonts w:ascii="Work Sans" w:hAnsi="Work Sans"/>
              </w:rPr>
              <w:t xml:space="preserve"> management and </w:t>
            </w:r>
            <w:r w:rsidR="00FC4581">
              <w:rPr>
                <w:rFonts w:ascii="Work Sans" w:hAnsi="Work Sans"/>
              </w:rPr>
              <w:t xml:space="preserve">more </w:t>
            </w:r>
            <w:r w:rsidR="00DA15BC">
              <w:rPr>
                <w:rFonts w:ascii="Work Sans" w:hAnsi="Work Sans"/>
              </w:rPr>
              <w:t>accurate</w:t>
            </w:r>
            <w:r w:rsidR="00FC4581">
              <w:rPr>
                <w:rFonts w:ascii="Work Sans" w:hAnsi="Work Sans"/>
              </w:rPr>
              <w:t xml:space="preserve"> reporting</w:t>
            </w:r>
            <w:r w:rsidR="00DF6A6C" w:rsidRPr="0009691C">
              <w:rPr>
                <w:rFonts w:ascii="Work Sans" w:hAnsi="Work Sans"/>
              </w:rPr>
              <w:t>, this went live on the 01 April</w:t>
            </w:r>
            <w:r w:rsidR="000D32C8">
              <w:rPr>
                <w:rFonts w:ascii="Work Sans" w:hAnsi="Work Sans"/>
              </w:rPr>
              <w:t xml:space="preserve"> 2026,</w:t>
            </w:r>
            <w:r w:rsidR="00DA15BC">
              <w:rPr>
                <w:rFonts w:ascii="Work Sans" w:hAnsi="Work Sans"/>
              </w:rPr>
              <w:t xml:space="preserve"> and we will continue to monitor t</w:t>
            </w:r>
            <w:r w:rsidR="002B4A0E">
              <w:rPr>
                <w:rFonts w:ascii="Work Sans" w:hAnsi="Work Sans"/>
              </w:rPr>
              <w:t>h</w:t>
            </w:r>
            <w:r w:rsidR="00CC6EEB">
              <w:rPr>
                <w:rFonts w:ascii="Work Sans" w:hAnsi="Work Sans"/>
              </w:rPr>
              <w:t>is</w:t>
            </w:r>
            <w:r w:rsidR="00B659ED" w:rsidRPr="0009691C">
              <w:rPr>
                <w:rFonts w:ascii="Work Sans" w:hAnsi="Work Sans"/>
              </w:rPr>
              <w:t>.</w:t>
            </w:r>
          </w:p>
          <w:p w14:paraId="4CF2A5FF" w14:textId="77777777" w:rsidR="00B659ED" w:rsidRPr="004A685A" w:rsidRDefault="00B659ED" w:rsidP="00731B4D">
            <w:pPr>
              <w:spacing w:before="60" w:after="120"/>
              <w:ind w:left="720"/>
              <w:jc w:val="both"/>
              <w:rPr>
                <w:rFonts w:ascii="Work Sans" w:hAnsi="Work Sans"/>
                <w:b/>
                <w:bCs/>
              </w:rPr>
            </w:pPr>
            <w:r w:rsidRPr="004A685A">
              <w:rPr>
                <w:rFonts w:ascii="Work Sans" w:hAnsi="Work Sans"/>
                <w:b/>
                <w:bCs/>
              </w:rPr>
              <w:t>Complaints Data and Insight</w:t>
            </w:r>
          </w:p>
          <w:p w14:paraId="13D6F770" w14:textId="77777777" w:rsidR="00B659ED" w:rsidRPr="00731B4D" w:rsidRDefault="00B659ED" w:rsidP="00731B4D">
            <w:pPr>
              <w:spacing w:before="60" w:after="120"/>
              <w:ind w:left="720"/>
              <w:jc w:val="both"/>
              <w:rPr>
                <w:rFonts w:ascii="Work Sans" w:hAnsi="Work Sans"/>
                <w:b/>
                <w:bCs/>
              </w:rPr>
            </w:pPr>
            <w:r w:rsidRPr="00731B4D">
              <w:rPr>
                <w:rFonts w:ascii="Work Sans" w:hAnsi="Work Sans"/>
                <w:b/>
                <w:bCs/>
              </w:rPr>
              <w:t>Complaints by Service Area</w:t>
            </w:r>
          </w:p>
          <w:p w14:paraId="38DF4853" w14:textId="790B2A85"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The graph below shows the number of complaints received by the service area in 202</w:t>
            </w:r>
            <w:r w:rsidR="00E61C43" w:rsidRPr="0009691C">
              <w:rPr>
                <w:rFonts w:ascii="Work Sans" w:hAnsi="Work Sans"/>
              </w:rPr>
              <w:t>5</w:t>
            </w:r>
            <w:r w:rsidRPr="0009691C">
              <w:rPr>
                <w:rFonts w:ascii="Work Sans" w:hAnsi="Work Sans"/>
              </w:rPr>
              <w:t>/2</w:t>
            </w:r>
            <w:r w:rsidR="00E61C43" w:rsidRPr="0009691C">
              <w:rPr>
                <w:rFonts w:ascii="Work Sans" w:hAnsi="Work Sans"/>
              </w:rPr>
              <w:t>6</w:t>
            </w:r>
            <w:r w:rsidRPr="0009691C">
              <w:rPr>
                <w:rFonts w:ascii="Work Sans" w:hAnsi="Work Sans"/>
              </w:rPr>
              <w:t xml:space="preserve">.  </w:t>
            </w:r>
          </w:p>
          <w:p w14:paraId="68E65A50" w14:textId="3B92CCAC" w:rsidR="00B659ED" w:rsidRPr="0009691C" w:rsidRDefault="00E61C43" w:rsidP="00B659ED">
            <w:pPr>
              <w:ind w:left="360"/>
              <w:rPr>
                <w:rFonts w:ascii="Work Sans" w:hAnsi="Work Sans"/>
              </w:rPr>
            </w:pPr>
            <w:r w:rsidRPr="0009691C">
              <w:rPr>
                <w:noProof/>
              </w:rPr>
              <w:drawing>
                <wp:inline distT="0" distB="0" distL="0" distR="0" wp14:anchorId="09C2C924" wp14:editId="57B30A4D">
                  <wp:extent cx="6127750" cy="2908300"/>
                  <wp:effectExtent l="0" t="0" r="6350" b="6350"/>
                  <wp:docPr id="416911790" name="Chart 1">
                    <a:extLst xmlns:a="http://schemas.openxmlformats.org/drawingml/2006/main">
                      <a:ext uri="{FF2B5EF4-FFF2-40B4-BE49-F238E27FC236}">
                        <a16:creationId xmlns:a16="http://schemas.microsoft.com/office/drawing/2014/main" id="{B73DC4F0-F915-6537-74E4-826F864DB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EEFDDA" w14:textId="22E68C9A" w:rsidR="00975739" w:rsidRPr="0009691C" w:rsidRDefault="0095181C"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Complaint volumes decreased marginally across Customer Connect, Development and Landlord Services during the year. LiveWell complaint volumes remained stable in line with 2024/25. Property Services, however, recorded a modest increase, with complaints rising by 5.5%.</w:t>
            </w:r>
          </w:p>
          <w:p w14:paraId="5C8AB876" w14:textId="5B3A03E1" w:rsidR="00B659ED" w:rsidRPr="0009691C" w:rsidRDefault="003F513F"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84</w:t>
            </w:r>
            <w:r w:rsidR="00B659ED" w:rsidRPr="0009691C">
              <w:rPr>
                <w:rFonts w:ascii="Work Sans" w:hAnsi="Work Sans"/>
              </w:rPr>
              <w:t xml:space="preserve">% of all complaints relate to Property Services &amp; Maintenance (including HMT and contractors).  This service area continues to receive a higher volume of </w:t>
            </w:r>
            <w:proofErr w:type="gramStart"/>
            <w:r w:rsidR="00B659ED" w:rsidRPr="0009691C">
              <w:rPr>
                <w:rFonts w:ascii="Work Sans" w:hAnsi="Work Sans"/>
              </w:rPr>
              <w:t>complaints,</w:t>
            </w:r>
            <w:proofErr w:type="gramEnd"/>
            <w:r w:rsidR="00B659ED" w:rsidRPr="0009691C">
              <w:rPr>
                <w:rFonts w:ascii="Work Sans" w:hAnsi="Work Sans"/>
              </w:rPr>
              <w:t xml:space="preserve"> a pattern reflected in the housing sector. It mirrors </w:t>
            </w:r>
            <w:r w:rsidR="00C73B29" w:rsidRPr="0009691C">
              <w:rPr>
                <w:rFonts w:ascii="Work Sans" w:hAnsi="Work Sans"/>
              </w:rPr>
              <w:t>2024/25</w:t>
            </w:r>
            <w:r w:rsidR="00B659ED" w:rsidRPr="0009691C">
              <w:rPr>
                <w:rFonts w:ascii="Work Sans" w:hAnsi="Work Sans"/>
              </w:rPr>
              <w:t>, when 7</w:t>
            </w:r>
            <w:r w:rsidR="00C73B29" w:rsidRPr="0009691C">
              <w:rPr>
                <w:rFonts w:ascii="Work Sans" w:hAnsi="Work Sans"/>
              </w:rPr>
              <w:t>8</w:t>
            </w:r>
            <w:r w:rsidR="00B659ED" w:rsidRPr="0009691C">
              <w:rPr>
                <w:rFonts w:ascii="Work Sans" w:hAnsi="Work Sans"/>
              </w:rPr>
              <w:t xml:space="preserve">% of all complaints received related to Property Services &amp; Maintenance. </w:t>
            </w:r>
          </w:p>
          <w:p w14:paraId="39E7CFA0" w14:textId="47E7E0C2" w:rsidR="00371293" w:rsidRPr="0009691C" w:rsidRDefault="00371293" w:rsidP="0019179A">
            <w:pPr>
              <w:pStyle w:val="ListParagraph"/>
              <w:numPr>
                <w:ilvl w:val="1"/>
                <w:numId w:val="1"/>
              </w:numPr>
              <w:spacing w:before="60" w:after="120"/>
              <w:ind w:left="794" w:hanging="794"/>
              <w:jc w:val="both"/>
              <w:rPr>
                <w:rFonts w:ascii="Work Sans" w:hAnsi="Work Sans"/>
              </w:rPr>
            </w:pPr>
            <w:r w:rsidRPr="0009691C">
              <w:rPr>
                <w:rFonts w:ascii="Work Sans" w:hAnsi="Work Sans"/>
              </w:rPr>
              <w:t>Although the volume of complaints within LiveWell has stabilised during the year, overall levels remain lower than those recorded in previous years. The Customer Experience Team (CET) is working closely with the Quality and Impact Manager to raise awareness among both staff and customers, ensuring that complaints are consistently identified, recorded and managed.</w:t>
            </w:r>
          </w:p>
          <w:p w14:paraId="50D36EB8" w14:textId="0D1501B9"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p>
          <w:tbl>
            <w:tblPr>
              <w:tblStyle w:val="TableGrid"/>
              <w:tblW w:w="9036" w:type="dxa"/>
              <w:jc w:val="center"/>
              <w:tblLook w:val="04A0" w:firstRow="1" w:lastRow="0" w:firstColumn="1" w:lastColumn="0" w:noHBand="0" w:noVBand="1"/>
            </w:tblPr>
            <w:tblGrid>
              <w:gridCol w:w="3643"/>
              <w:gridCol w:w="1378"/>
              <w:gridCol w:w="1465"/>
              <w:gridCol w:w="1275"/>
              <w:gridCol w:w="1275"/>
            </w:tblGrid>
            <w:tr w:rsidR="000C77C6" w:rsidRPr="0009691C" w14:paraId="696C6778" w14:textId="05750E84">
              <w:trPr>
                <w:jc w:val="center"/>
              </w:trPr>
              <w:tc>
                <w:tcPr>
                  <w:tcW w:w="3643" w:type="dxa"/>
                  <w:tcBorders>
                    <w:top w:val="nil"/>
                    <w:left w:val="nil"/>
                    <w:bottom w:val="single" w:sz="4" w:space="0" w:color="auto"/>
                    <w:right w:val="single" w:sz="4" w:space="0" w:color="auto"/>
                  </w:tcBorders>
                </w:tcPr>
                <w:p w14:paraId="17AB758B" w14:textId="77777777" w:rsidR="000C77C6" w:rsidRPr="0009691C" w:rsidRDefault="000C77C6" w:rsidP="00B659ED">
                  <w:pPr>
                    <w:rPr>
                      <w:rFonts w:ascii="Work Sans" w:hAnsi="Work Sans"/>
                      <w:b/>
                    </w:rPr>
                  </w:pPr>
                </w:p>
              </w:tc>
              <w:tc>
                <w:tcPr>
                  <w:tcW w:w="5393" w:type="dxa"/>
                  <w:gridSpan w:val="4"/>
                  <w:tcBorders>
                    <w:left w:val="single" w:sz="4" w:space="0" w:color="auto"/>
                  </w:tcBorders>
                </w:tcPr>
                <w:p w14:paraId="76BAA1FC" w14:textId="60F68924" w:rsidR="000C77C6" w:rsidRPr="0009691C" w:rsidRDefault="000C77C6" w:rsidP="00B659ED">
                  <w:pPr>
                    <w:rPr>
                      <w:rFonts w:ascii="Work Sans" w:hAnsi="Work Sans"/>
                      <w:b/>
                    </w:rPr>
                  </w:pPr>
                  <w:r w:rsidRPr="0009691C">
                    <w:rPr>
                      <w:rFonts w:ascii="Work Sans" w:hAnsi="Work Sans"/>
                      <w:b/>
                    </w:rPr>
                    <w:t>No. of complaints</w:t>
                  </w:r>
                </w:p>
              </w:tc>
            </w:tr>
            <w:tr w:rsidR="000C77C6" w:rsidRPr="0009691C" w14:paraId="54D561F5" w14:textId="47FE1F81" w:rsidTr="000C77C6">
              <w:trPr>
                <w:jc w:val="center"/>
              </w:trPr>
              <w:tc>
                <w:tcPr>
                  <w:tcW w:w="3643" w:type="dxa"/>
                  <w:tcBorders>
                    <w:top w:val="single" w:sz="4" w:space="0" w:color="auto"/>
                  </w:tcBorders>
                </w:tcPr>
                <w:p w14:paraId="7ECA4812" w14:textId="77777777" w:rsidR="000C77C6" w:rsidRPr="0009691C" w:rsidRDefault="000C77C6" w:rsidP="00B659ED">
                  <w:pPr>
                    <w:rPr>
                      <w:rFonts w:ascii="Work Sans" w:hAnsi="Work Sans"/>
                      <w:b/>
                    </w:rPr>
                  </w:pPr>
                  <w:r w:rsidRPr="0009691C">
                    <w:rPr>
                      <w:rFonts w:ascii="Work Sans" w:hAnsi="Work Sans"/>
                      <w:b/>
                    </w:rPr>
                    <w:t>Service Area</w:t>
                  </w:r>
                </w:p>
              </w:tc>
              <w:tc>
                <w:tcPr>
                  <w:tcW w:w="1378" w:type="dxa"/>
                </w:tcPr>
                <w:p w14:paraId="313BE6CE" w14:textId="77777777" w:rsidR="000C77C6" w:rsidRPr="0009691C" w:rsidRDefault="000C77C6" w:rsidP="00B659ED">
                  <w:pPr>
                    <w:jc w:val="right"/>
                    <w:rPr>
                      <w:rFonts w:ascii="Work Sans" w:hAnsi="Work Sans"/>
                      <w:b/>
                    </w:rPr>
                  </w:pPr>
                  <w:r w:rsidRPr="0009691C">
                    <w:rPr>
                      <w:rFonts w:ascii="Work Sans" w:hAnsi="Work Sans"/>
                      <w:b/>
                    </w:rPr>
                    <w:t>2022/23</w:t>
                  </w:r>
                </w:p>
              </w:tc>
              <w:tc>
                <w:tcPr>
                  <w:tcW w:w="1465" w:type="dxa"/>
                </w:tcPr>
                <w:p w14:paraId="621247DF" w14:textId="77777777" w:rsidR="000C77C6" w:rsidRPr="0009691C" w:rsidRDefault="000C77C6" w:rsidP="00B659ED">
                  <w:pPr>
                    <w:jc w:val="right"/>
                    <w:rPr>
                      <w:rFonts w:ascii="Work Sans" w:hAnsi="Work Sans"/>
                      <w:b/>
                    </w:rPr>
                  </w:pPr>
                  <w:r w:rsidRPr="0009691C">
                    <w:rPr>
                      <w:rFonts w:ascii="Work Sans" w:hAnsi="Work Sans"/>
                      <w:b/>
                    </w:rPr>
                    <w:t>2023/24</w:t>
                  </w:r>
                </w:p>
              </w:tc>
              <w:tc>
                <w:tcPr>
                  <w:tcW w:w="1275" w:type="dxa"/>
                </w:tcPr>
                <w:p w14:paraId="725C2A73" w14:textId="77777777" w:rsidR="000C77C6" w:rsidRPr="0009691C" w:rsidRDefault="000C77C6" w:rsidP="00B659ED">
                  <w:pPr>
                    <w:jc w:val="right"/>
                    <w:rPr>
                      <w:rFonts w:ascii="Work Sans" w:hAnsi="Work Sans"/>
                      <w:b/>
                    </w:rPr>
                  </w:pPr>
                  <w:r w:rsidRPr="0009691C">
                    <w:rPr>
                      <w:rFonts w:ascii="Work Sans" w:hAnsi="Work Sans"/>
                      <w:b/>
                    </w:rPr>
                    <w:t>2024/25</w:t>
                  </w:r>
                </w:p>
              </w:tc>
              <w:tc>
                <w:tcPr>
                  <w:tcW w:w="1275" w:type="dxa"/>
                </w:tcPr>
                <w:p w14:paraId="7B0B81CF" w14:textId="4561C832" w:rsidR="000C77C6" w:rsidRPr="0009691C" w:rsidRDefault="003759AD" w:rsidP="00B659ED">
                  <w:pPr>
                    <w:jc w:val="right"/>
                    <w:rPr>
                      <w:rFonts w:ascii="Work Sans" w:hAnsi="Work Sans"/>
                      <w:b/>
                    </w:rPr>
                  </w:pPr>
                  <w:r w:rsidRPr="0009691C">
                    <w:rPr>
                      <w:rFonts w:ascii="Work Sans" w:hAnsi="Work Sans"/>
                      <w:b/>
                    </w:rPr>
                    <w:t>2025/26</w:t>
                  </w:r>
                </w:p>
              </w:tc>
            </w:tr>
            <w:tr w:rsidR="000C77C6" w:rsidRPr="0009691C" w14:paraId="4C5B02E3" w14:textId="1AB14F95" w:rsidTr="000C77C6">
              <w:trPr>
                <w:jc w:val="center"/>
              </w:trPr>
              <w:tc>
                <w:tcPr>
                  <w:tcW w:w="3643" w:type="dxa"/>
                </w:tcPr>
                <w:p w14:paraId="191BC84D" w14:textId="77777777" w:rsidR="000C77C6" w:rsidRPr="0009691C" w:rsidRDefault="000C77C6" w:rsidP="00B659ED">
                  <w:pPr>
                    <w:rPr>
                      <w:rFonts w:ascii="Work Sans" w:hAnsi="Work Sans"/>
                    </w:rPr>
                  </w:pPr>
                  <w:r w:rsidRPr="0009691C">
                    <w:rPr>
                      <w:rFonts w:ascii="Work Sans" w:hAnsi="Work Sans"/>
                    </w:rPr>
                    <w:t>Customer Connect</w:t>
                  </w:r>
                </w:p>
              </w:tc>
              <w:tc>
                <w:tcPr>
                  <w:tcW w:w="1378" w:type="dxa"/>
                </w:tcPr>
                <w:p w14:paraId="59DFF2B6" w14:textId="77777777" w:rsidR="000C77C6" w:rsidRPr="0009691C" w:rsidRDefault="000C77C6" w:rsidP="00B659ED">
                  <w:pPr>
                    <w:jc w:val="right"/>
                    <w:rPr>
                      <w:rFonts w:ascii="Work Sans" w:hAnsi="Work Sans"/>
                    </w:rPr>
                  </w:pPr>
                  <w:r w:rsidRPr="0009691C">
                    <w:rPr>
                      <w:rFonts w:ascii="Work Sans" w:hAnsi="Work Sans"/>
                    </w:rPr>
                    <w:t xml:space="preserve">5 </w:t>
                  </w:r>
                </w:p>
              </w:tc>
              <w:tc>
                <w:tcPr>
                  <w:tcW w:w="1465" w:type="dxa"/>
                </w:tcPr>
                <w:p w14:paraId="7F6F078E" w14:textId="77777777" w:rsidR="000C77C6" w:rsidRPr="0009691C" w:rsidRDefault="000C77C6" w:rsidP="00B659ED">
                  <w:pPr>
                    <w:jc w:val="right"/>
                    <w:rPr>
                      <w:rFonts w:ascii="Work Sans" w:hAnsi="Work Sans"/>
                    </w:rPr>
                  </w:pPr>
                  <w:r w:rsidRPr="0009691C">
                    <w:rPr>
                      <w:rFonts w:ascii="Work Sans" w:hAnsi="Work Sans"/>
                    </w:rPr>
                    <w:t xml:space="preserve">  7 </w:t>
                  </w:r>
                </w:p>
              </w:tc>
              <w:tc>
                <w:tcPr>
                  <w:tcW w:w="1275" w:type="dxa"/>
                </w:tcPr>
                <w:p w14:paraId="6181D1D0" w14:textId="77777777" w:rsidR="000C77C6" w:rsidRPr="0009691C" w:rsidRDefault="000C77C6" w:rsidP="00B659ED">
                  <w:pPr>
                    <w:jc w:val="right"/>
                    <w:rPr>
                      <w:rFonts w:ascii="Work Sans" w:hAnsi="Work Sans"/>
                    </w:rPr>
                  </w:pPr>
                  <w:r w:rsidRPr="0009691C">
                    <w:rPr>
                      <w:rFonts w:ascii="Work Sans" w:hAnsi="Work Sans"/>
                    </w:rPr>
                    <w:t>9</w:t>
                  </w:r>
                </w:p>
              </w:tc>
              <w:tc>
                <w:tcPr>
                  <w:tcW w:w="1275" w:type="dxa"/>
                </w:tcPr>
                <w:p w14:paraId="1F46D8E1" w14:textId="42A3B731" w:rsidR="000C77C6" w:rsidRPr="0009691C" w:rsidRDefault="00CA0F78" w:rsidP="00B659ED">
                  <w:pPr>
                    <w:jc w:val="right"/>
                    <w:rPr>
                      <w:rFonts w:ascii="Work Sans" w:hAnsi="Work Sans"/>
                    </w:rPr>
                  </w:pPr>
                  <w:r w:rsidRPr="0009691C">
                    <w:rPr>
                      <w:rFonts w:ascii="Work Sans" w:hAnsi="Work Sans"/>
                    </w:rPr>
                    <w:t>6</w:t>
                  </w:r>
                </w:p>
              </w:tc>
            </w:tr>
            <w:tr w:rsidR="000C77C6" w:rsidRPr="0009691C" w14:paraId="787581C6" w14:textId="7A878A9E" w:rsidTr="000C77C6">
              <w:trPr>
                <w:jc w:val="center"/>
              </w:trPr>
              <w:tc>
                <w:tcPr>
                  <w:tcW w:w="3643" w:type="dxa"/>
                </w:tcPr>
                <w:p w14:paraId="5A8A8EA3" w14:textId="77777777" w:rsidR="000C77C6" w:rsidRPr="0009691C" w:rsidRDefault="000C77C6" w:rsidP="00B659ED">
                  <w:pPr>
                    <w:rPr>
                      <w:rFonts w:ascii="Work Sans" w:hAnsi="Work Sans"/>
                    </w:rPr>
                  </w:pPr>
                  <w:r w:rsidRPr="0009691C">
                    <w:rPr>
                      <w:rFonts w:ascii="Work Sans" w:hAnsi="Work Sans"/>
                    </w:rPr>
                    <w:t>Development</w:t>
                  </w:r>
                </w:p>
              </w:tc>
              <w:tc>
                <w:tcPr>
                  <w:tcW w:w="1378" w:type="dxa"/>
                </w:tcPr>
                <w:p w14:paraId="108EEAB2" w14:textId="77777777" w:rsidR="000C77C6" w:rsidRPr="0009691C" w:rsidRDefault="000C77C6" w:rsidP="00B659ED">
                  <w:pPr>
                    <w:jc w:val="right"/>
                    <w:rPr>
                      <w:rFonts w:ascii="Work Sans" w:hAnsi="Work Sans"/>
                    </w:rPr>
                  </w:pPr>
                  <w:r w:rsidRPr="0009691C">
                    <w:rPr>
                      <w:rFonts w:ascii="Work Sans" w:hAnsi="Work Sans"/>
                    </w:rPr>
                    <w:t>1</w:t>
                  </w:r>
                </w:p>
              </w:tc>
              <w:tc>
                <w:tcPr>
                  <w:tcW w:w="1465" w:type="dxa"/>
                </w:tcPr>
                <w:p w14:paraId="55CE5C38" w14:textId="77777777" w:rsidR="000C77C6" w:rsidRPr="0009691C" w:rsidRDefault="000C77C6" w:rsidP="00B659ED">
                  <w:pPr>
                    <w:jc w:val="right"/>
                    <w:rPr>
                      <w:rFonts w:ascii="Work Sans" w:hAnsi="Work Sans"/>
                    </w:rPr>
                  </w:pPr>
                  <w:r w:rsidRPr="0009691C">
                    <w:rPr>
                      <w:rFonts w:ascii="Work Sans" w:hAnsi="Work Sans"/>
                    </w:rPr>
                    <w:t xml:space="preserve">           7</w:t>
                  </w:r>
                </w:p>
              </w:tc>
              <w:tc>
                <w:tcPr>
                  <w:tcW w:w="1275" w:type="dxa"/>
                </w:tcPr>
                <w:p w14:paraId="68B4BAF7" w14:textId="77777777" w:rsidR="000C77C6" w:rsidRPr="0009691C" w:rsidRDefault="000C77C6" w:rsidP="00B659ED">
                  <w:pPr>
                    <w:jc w:val="right"/>
                    <w:rPr>
                      <w:rFonts w:ascii="Work Sans" w:hAnsi="Work Sans"/>
                    </w:rPr>
                  </w:pPr>
                  <w:r w:rsidRPr="0009691C">
                    <w:rPr>
                      <w:rFonts w:ascii="Work Sans" w:hAnsi="Work Sans"/>
                    </w:rPr>
                    <w:t>5</w:t>
                  </w:r>
                </w:p>
              </w:tc>
              <w:tc>
                <w:tcPr>
                  <w:tcW w:w="1275" w:type="dxa"/>
                </w:tcPr>
                <w:p w14:paraId="3CDDC530" w14:textId="12C2CA52" w:rsidR="000C77C6" w:rsidRPr="0009691C" w:rsidRDefault="00FF6D4B" w:rsidP="00B659ED">
                  <w:pPr>
                    <w:jc w:val="right"/>
                    <w:rPr>
                      <w:rFonts w:ascii="Work Sans" w:hAnsi="Work Sans"/>
                    </w:rPr>
                  </w:pPr>
                  <w:r w:rsidRPr="0009691C">
                    <w:rPr>
                      <w:rFonts w:ascii="Work Sans" w:hAnsi="Work Sans"/>
                    </w:rPr>
                    <w:t>2</w:t>
                  </w:r>
                </w:p>
              </w:tc>
            </w:tr>
            <w:tr w:rsidR="000C77C6" w:rsidRPr="0009691C" w14:paraId="439D49A3" w14:textId="5A310D6C" w:rsidTr="000C77C6">
              <w:trPr>
                <w:jc w:val="center"/>
              </w:trPr>
              <w:tc>
                <w:tcPr>
                  <w:tcW w:w="3643" w:type="dxa"/>
                </w:tcPr>
                <w:p w14:paraId="4F008649" w14:textId="77777777" w:rsidR="000C77C6" w:rsidRPr="0009691C" w:rsidRDefault="000C77C6" w:rsidP="00B659ED">
                  <w:pPr>
                    <w:rPr>
                      <w:rFonts w:ascii="Work Sans" w:hAnsi="Work Sans"/>
                    </w:rPr>
                  </w:pPr>
                  <w:r w:rsidRPr="0009691C">
                    <w:rPr>
                      <w:rFonts w:ascii="Work Sans" w:hAnsi="Work Sans"/>
                    </w:rPr>
                    <w:t>Landlord Services</w:t>
                  </w:r>
                </w:p>
              </w:tc>
              <w:tc>
                <w:tcPr>
                  <w:tcW w:w="1378" w:type="dxa"/>
                </w:tcPr>
                <w:p w14:paraId="622C7403" w14:textId="77777777" w:rsidR="000C77C6" w:rsidRPr="0009691C" w:rsidRDefault="000C77C6" w:rsidP="00B659ED">
                  <w:pPr>
                    <w:jc w:val="right"/>
                    <w:rPr>
                      <w:rFonts w:ascii="Work Sans" w:hAnsi="Work Sans"/>
                    </w:rPr>
                  </w:pPr>
                  <w:r w:rsidRPr="0009691C">
                    <w:rPr>
                      <w:rFonts w:ascii="Work Sans" w:hAnsi="Work Sans"/>
                    </w:rPr>
                    <w:t xml:space="preserve">23 </w:t>
                  </w:r>
                </w:p>
              </w:tc>
              <w:tc>
                <w:tcPr>
                  <w:tcW w:w="1465" w:type="dxa"/>
                </w:tcPr>
                <w:p w14:paraId="5E6B7A98" w14:textId="77777777" w:rsidR="000C77C6" w:rsidRPr="0009691C" w:rsidRDefault="000C77C6" w:rsidP="00B659ED">
                  <w:pPr>
                    <w:jc w:val="right"/>
                    <w:rPr>
                      <w:rFonts w:ascii="Work Sans" w:hAnsi="Work Sans"/>
                    </w:rPr>
                  </w:pPr>
                  <w:r w:rsidRPr="0009691C">
                    <w:rPr>
                      <w:rFonts w:ascii="Work Sans" w:hAnsi="Work Sans"/>
                    </w:rPr>
                    <w:t xml:space="preserve">26 </w:t>
                  </w:r>
                </w:p>
              </w:tc>
              <w:tc>
                <w:tcPr>
                  <w:tcW w:w="1275" w:type="dxa"/>
                </w:tcPr>
                <w:p w14:paraId="5C4AFB73" w14:textId="77777777" w:rsidR="000C77C6" w:rsidRPr="0009691C" w:rsidRDefault="000C77C6" w:rsidP="00B659ED">
                  <w:pPr>
                    <w:jc w:val="right"/>
                    <w:rPr>
                      <w:rFonts w:ascii="Work Sans" w:hAnsi="Work Sans"/>
                    </w:rPr>
                  </w:pPr>
                  <w:r w:rsidRPr="0009691C">
                    <w:rPr>
                      <w:rFonts w:ascii="Work Sans" w:hAnsi="Work Sans"/>
                    </w:rPr>
                    <w:t>39</w:t>
                  </w:r>
                </w:p>
              </w:tc>
              <w:tc>
                <w:tcPr>
                  <w:tcW w:w="1275" w:type="dxa"/>
                </w:tcPr>
                <w:p w14:paraId="26DCD123" w14:textId="5208E22A" w:rsidR="000C77C6" w:rsidRPr="0009691C" w:rsidRDefault="00BE4E2C" w:rsidP="00B659ED">
                  <w:pPr>
                    <w:jc w:val="right"/>
                    <w:rPr>
                      <w:rFonts w:ascii="Work Sans" w:hAnsi="Work Sans"/>
                    </w:rPr>
                  </w:pPr>
                  <w:r w:rsidRPr="0009691C">
                    <w:rPr>
                      <w:rFonts w:ascii="Work Sans" w:hAnsi="Work Sans"/>
                    </w:rPr>
                    <w:t>25</w:t>
                  </w:r>
                </w:p>
              </w:tc>
            </w:tr>
            <w:tr w:rsidR="000C77C6" w:rsidRPr="0009691C" w14:paraId="28800603" w14:textId="00AFD6BC" w:rsidTr="000C77C6">
              <w:trPr>
                <w:jc w:val="center"/>
              </w:trPr>
              <w:tc>
                <w:tcPr>
                  <w:tcW w:w="3643" w:type="dxa"/>
                </w:tcPr>
                <w:p w14:paraId="041ECA69" w14:textId="77777777" w:rsidR="000C77C6" w:rsidRPr="0009691C" w:rsidRDefault="000C77C6" w:rsidP="00B659ED">
                  <w:pPr>
                    <w:rPr>
                      <w:rFonts w:ascii="Work Sans" w:hAnsi="Work Sans"/>
                    </w:rPr>
                  </w:pPr>
                  <w:r w:rsidRPr="0009691C">
                    <w:rPr>
                      <w:rFonts w:ascii="Work Sans" w:hAnsi="Work Sans"/>
                    </w:rPr>
                    <w:t>Leasehold &amp; Service Charge*</w:t>
                  </w:r>
                </w:p>
              </w:tc>
              <w:tc>
                <w:tcPr>
                  <w:tcW w:w="1378" w:type="dxa"/>
                </w:tcPr>
                <w:p w14:paraId="2C47C99B" w14:textId="77777777" w:rsidR="000C77C6" w:rsidRPr="0009691C" w:rsidRDefault="000C77C6" w:rsidP="00B659ED">
                  <w:pPr>
                    <w:jc w:val="right"/>
                    <w:rPr>
                      <w:rFonts w:ascii="Work Sans" w:hAnsi="Work Sans"/>
                    </w:rPr>
                  </w:pPr>
                  <w:r w:rsidRPr="0009691C">
                    <w:rPr>
                      <w:rFonts w:ascii="Work Sans" w:hAnsi="Work Sans"/>
                    </w:rPr>
                    <w:t>-</w:t>
                  </w:r>
                </w:p>
              </w:tc>
              <w:tc>
                <w:tcPr>
                  <w:tcW w:w="1465" w:type="dxa"/>
                </w:tcPr>
                <w:p w14:paraId="590E0045" w14:textId="77777777" w:rsidR="000C77C6" w:rsidRPr="0009691C" w:rsidRDefault="000C77C6" w:rsidP="00B659ED">
                  <w:pPr>
                    <w:jc w:val="right"/>
                    <w:rPr>
                      <w:rFonts w:ascii="Work Sans" w:hAnsi="Work Sans"/>
                    </w:rPr>
                  </w:pPr>
                  <w:r w:rsidRPr="0009691C">
                    <w:rPr>
                      <w:rFonts w:ascii="Work Sans" w:hAnsi="Work Sans"/>
                    </w:rPr>
                    <w:t>-</w:t>
                  </w:r>
                </w:p>
              </w:tc>
              <w:tc>
                <w:tcPr>
                  <w:tcW w:w="1275" w:type="dxa"/>
                </w:tcPr>
                <w:p w14:paraId="092D436B" w14:textId="77777777" w:rsidR="000C77C6" w:rsidRPr="0009691C" w:rsidRDefault="000C77C6" w:rsidP="00B659ED">
                  <w:pPr>
                    <w:jc w:val="right"/>
                    <w:rPr>
                      <w:rFonts w:ascii="Work Sans" w:hAnsi="Work Sans"/>
                    </w:rPr>
                  </w:pPr>
                  <w:r w:rsidRPr="0009691C">
                    <w:rPr>
                      <w:rFonts w:ascii="Work Sans" w:hAnsi="Work Sans"/>
                    </w:rPr>
                    <w:t>4</w:t>
                  </w:r>
                </w:p>
              </w:tc>
              <w:tc>
                <w:tcPr>
                  <w:tcW w:w="1275" w:type="dxa"/>
                </w:tcPr>
                <w:p w14:paraId="74CD8CBE" w14:textId="39D9598C" w:rsidR="000C77C6" w:rsidRPr="0009691C" w:rsidRDefault="00BE4E2C" w:rsidP="00B659ED">
                  <w:pPr>
                    <w:jc w:val="right"/>
                    <w:rPr>
                      <w:rFonts w:ascii="Work Sans" w:hAnsi="Work Sans"/>
                    </w:rPr>
                  </w:pPr>
                  <w:r w:rsidRPr="0009691C">
                    <w:rPr>
                      <w:rFonts w:ascii="Work Sans" w:hAnsi="Work Sans"/>
                    </w:rPr>
                    <w:t>0</w:t>
                  </w:r>
                </w:p>
              </w:tc>
            </w:tr>
            <w:tr w:rsidR="000C77C6" w:rsidRPr="0009691C" w14:paraId="5286B50E" w14:textId="07E61251" w:rsidTr="000C77C6">
              <w:trPr>
                <w:jc w:val="center"/>
              </w:trPr>
              <w:tc>
                <w:tcPr>
                  <w:tcW w:w="3643" w:type="dxa"/>
                </w:tcPr>
                <w:p w14:paraId="52736606" w14:textId="77777777" w:rsidR="000C77C6" w:rsidRPr="0009691C" w:rsidRDefault="000C77C6" w:rsidP="00B659ED">
                  <w:pPr>
                    <w:rPr>
                      <w:rFonts w:ascii="Work Sans" w:hAnsi="Work Sans"/>
                    </w:rPr>
                  </w:pPr>
                  <w:r w:rsidRPr="0009691C">
                    <w:rPr>
                      <w:rFonts w:ascii="Work Sans" w:hAnsi="Work Sans"/>
                    </w:rPr>
                    <w:t>LiveWell</w:t>
                  </w:r>
                </w:p>
              </w:tc>
              <w:tc>
                <w:tcPr>
                  <w:tcW w:w="1378" w:type="dxa"/>
                </w:tcPr>
                <w:p w14:paraId="301DD237" w14:textId="77777777" w:rsidR="000C77C6" w:rsidRPr="0009691C" w:rsidRDefault="000C77C6" w:rsidP="00B659ED">
                  <w:pPr>
                    <w:jc w:val="right"/>
                    <w:rPr>
                      <w:rFonts w:ascii="Work Sans" w:hAnsi="Work Sans"/>
                    </w:rPr>
                  </w:pPr>
                  <w:r w:rsidRPr="0009691C">
                    <w:rPr>
                      <w:rFonts w:ascii="Work Sans" w:hAnsi="Work Sans"/>
                    </w:rPr>
                    <w:t>23</w:t>
                  </w:r>
                </w:p>
              </w:tc>
              <w:tc>
                <w:tcPr>
                  <w:tcW w:w="1465" w:type="dxa"/>
                </w:tcPr>
                <w:p w14:paraId="03166040" w14:textId="77777777" w:rsidR="000C77C6" w:rsidRPr="0009691C" w:rsidRDefault="000C77C6" w:rsidP="00B659ED">
                  <w:pPr>
                    <w:jc w:val="right"/>
                    <w:rPr>
                      <w:rFonts w:ascii="Work Sans" w:hAnsi="Work Sans"/>
                    </w:rPr>
                  </w:pPr>
                  <w:r w:rsidRPr="0009691C">
                    <w:rPr>
                      <w:rFonts w:ascii="Work Sans" w:hAnsi="Work Sans"/>
                    </w:rPr>
                    <w:t>21</w:t>
                  </w:r>
                </w:p>
              </w:tc>
              <w:tc>
                <w:tcPr>
                  <w:tcW w:w="1275" w:type="dxa"/>
                </w:tcPr>
                <w:p w14:paraId="0C7729AE" w14:textId="77777777" w:rsidR="000C77C6" w:rsidRPr="0009691C" w:rsidRDefault="000C77C6" w:rsidP="00B659ED">
                  <w:pPr>
                    <w:jc w:val="right"/>
                    <w:rPr>
                      <w:rFonts w:ascii="Work Sans" w:hAnsi="Work Sans"/>
                    </w:rPr>
                  </w:pPr>
                  <w:r w:rsidRPr="0009691C">
                    <w:rPr>
                      <w:rFonts w:ascii="Work Sans" w:hAnsi="Work Sans"/>
                    </w:rPr>
                    <w:t>17</w:t>
                  </w:r>
                </w:p>
              </w:tc>
              <w:tc>
                <w:tcPr>
                  <w:tcW w:w="1275" w:type="dxa"/>
                </w:tcPr>
                <w:p w14:paraId="20595045" w14:textId="0BB9560C" w:rsidR="000C77C6" w:rsidRPr="0009691C" w:rsidRDefault="00AF2EFC" w:rsidP="00B659ED">
                  <w:pPr>
                    <w:jc w:val="right"/>
                    <w:rPr>
                      <w:rFonts w:ascii="Work Sans" w:hAnsi="Work Sans"/>
                    </w:rPr>
                  </w:pPr>
                  <w:r w:rsidRPr="0009691C">
                    <w:rPr>
                      <w:rFonts w:ascii="Work Sans" w:hAnsi="Work Sans"/>
                    </w:rPr>
                    <w:t>17</w:t>
                  </w:r>
                </w:p>
              </w:tc>
            </w:tr>
            <w:tr w:rsidR="000C77C6" w:rsidRPr="0009691C" w14:paraId="067E5F89" w14:textId="21D80B1A" w:rsidTr="000C77C6">
              <w:trPr>
                <w:jc w:val="center"/>
              </w:trPr>
              <w:tc>
                <w:tcPr>
                  <w:tcW w:w="3643" w:type="dxa"/>
                </w:tcPr>
                <w:p w14:paraId="14DCB771" w14:textId="77777777" w:rsidR="000C77C6" w:rsidRPr="0009691C" w:rsidRDefault="000C77C6" w:rsidP="00B659ED">
                  <w:pPr>
                    <w:rPr>
                      <w:rFonts w:ascii="Work Sans" w:hAnsi="Work Sans"/>
                    </w:rPr>
                  </w:pPr>
                  <w:r w:rsidRPr="0009691C">
                    <w:rPr>
                      <w:rFonts w:ascii="Work Sans" w:hAnsi="Work Sans"/>
                    </w:rPr>
                    <w:t>Property Services</w:t>
                  </w:r>
                </w:p>
              </w:tc>
              <w:tc>
                <w:tcPr>
                  <w:tcW w:w="1378" w:type="dxa"/>
                </w:tcPr>
                <w:p w14:paraId="72761AAD" w14:textId="77777777" w:rsidR="000C77C6" w:rsidRPr="0009691C" w:rsidRDefault="000C77C6" w:rsidP="00B659ED">
                  <w:pPr>
                    <w:jc w:val="right"/>
                    <w:rPr>
                      <w:rFonts w:ascii="Work Sans" w:hAnsi="Work Sans"/>
                    </w:rPr>
                  </w:pPr>
                  <w:r w:rsidRPr="0009691C">
                    <w:rPr>
                      <w:rFonts w:ascii="Work Sans" w:hAnsi="Work Sans"/>
                    </w:rPr>
                    <w:t>235</w:t>
                  </w:r>
                </w:p>
              </w:tc>
              <w:tc>
                <w:tcPr>
                  <w:tcW w:w="1465" w:type="dxa"/>
                </w:tcPr>
                <w:p w14:paraId="37EA5AA1" w14:textId="77777777" w:rsidR="000C77C6" w:rsidRPr="0009691C" w:rsidRDefault="000C77C6" w:rsidP="00B659ED">
                  <w:pPr>
                    <w:jc w:val="right"/>
                    <w:rPr>
                      <w:rFonts w:ascii="Work Sans" w:hAnsi="Work Sans"/>
                    </w:rPr>
                  </w:pPr>
                  <w:r w:rsidRPr="0009691C">
                    <w:rPr>
                      <w:rFonts w:ascii="Work Sans" w:hAnsi="Work Sans"/>
                    </w:rPr>
                    <w:t>200</w:t>
                  </w:r>
                </w:p>
              </w:tc>
              <w:tc>
                <w:tcPr>
                  <w:tcW w:w="1275" w:type="dxa"/>
                </w:tcPr>
                <w:p w14:paraId="34A3AF07" w14:textId="77777777" w:rsidR="000C77C6" w:rsidRPr="0009691C" w:rsidRDefault="000C77C6" w:rsidP="00B659ED">
                  <w:pPr>
                    <w:jc w:val="right"/>
                    <w:rPr>
                      <w:rFonts w:ascii="Work Sans" w:hAnsi="Work Sans"/>
                    </w:rPr>
                  </w:pPr>
                  <w:r w:rsidRPr="0009691C">
                    <w:rPr>
                      <w:rFonts w:ascii="Work Sans" w:hAnsi="Work Sans"/>
                    </w:rPr>
                    <w:t>255</w:t>
                  </w:r>
                </w:p>
              </w:tc>
              <w:tc>
                <w:tcPr>
                  <w:tcW w:w="1275" w:type="dxa"/>
                </w:tcPr>
                <w:p w14:paraId="782E985E" w14:textId="4A5AD32C" w:rsidR="000C77C6" w:rsidRPr="0009691C" w:rsidRDefault="00AF2EFC" w:rsidP="00B659ED">
                  <w:pPr>
                    <w:jc w:val="right"/>
                    <w:rPr>
                      <w:rFonts w:ascii="Work Sans" w:hAnsi="Work Sans"/>
                    </w:rPr>
                  </w:pPr>
                  <w:r w:rsidRPr="0009691C">
                    <w:rPr>
                      <w:rFonts w:ascii="Work Sans" w:hAnsi="Work Sans"/>
                    </w:rPr>
                    <w:t>266</w:t>
                  </w:r>
                </w:p>
              </w:tc>
            </w:tr>
            <w:tr w:rsidR="000C77C6" w:rsidRPr="0009691C" w14:paraId="1262222A" w14:textId="7114746C" w:rsidTr="000C77C6">
              <w:trPr>
                <w:jc w:val="center"/>
              </w:trPr>
              <w:tc>
                <w:tcPr>
                  <w:tcW w:w="3643" w:type="dxa"/>
                </w:tcPr>
                <w:p w14:paraId="3923C2E4" w14:textId="77777777" w:rsidR="000C77C6" w:rsidRPr="0009691C" w:rsidRDefault="000C77C6" w:rsidP="00B659ED">
                  <w:pPr>
                    <w:jc w:val="right"/>
                    <w:rPr>
                      <w:rFonts w:ascii="Work Sans" w:hAnsi="Work Sans"/>
                    </w:rPr>
                  </w:pPr>
                  <w:r w:rsidRPr="0009691C">
                    <w:rPr>
                      <w:rFonts w:ascii="Work Sans" w:hAnsi="Work Sans"/>
                    </w:rPr>
                    <w:t xml:space="preserve">                              Total</w:t>
                  </w:r>
                </w:p>
              </w:tc>
              <w:tc>
                <w:tcPr>
                  <w:tcW w:w="1378" w:type="dxa"/>
                  <w:tcBorders>
                    <w:bottom w:val="single" w:sz="4" w:space="0" w:color="auto"/>
                  </w:tcBorders>
                </w:tcPr>
                <w:p w14:paraId="2BF8808B" w14:textId="77777777" w:rsidR="000C77C6" w:rsidRPr="0009691C" w:rsidRDefault="000C77C6" w:rsidP="00B659ED">
                  <w:pPr>
                    <w:jc w:val="right"/>
                    <w:rPr>
                      <w:rFonts w:ascii="Work Sans" w:hAnsi="Work Sans"/>
                    </w:rPr>
                  </w:pPr>
                  <w:r w:rsidRPr="0009691C">
                    <w:rPr>
                      <w:rFonts w:ascii="Work Sans" w:hAnsi="Work Sans"/>
                    </w:rPr>
                    <w:t>287</w:t>
                  </w:r>
                </w:p>
              </w:tc>
              <w:tc>
                <w:tcPr>
                  <w:tcW w:w="1465" w:type="dxa"/>
                </w:tcPr>
                <w:p w14:paraId="7768148F" w14:textId="77777777" w:rsidR="000C77C6" w:rsidRPr="0009691C" w:rsidRDefault="000C77C6" w:rsidP="00B659ED">
                  <w:pPr>
                    <w:jc w:val="center"/>
                    <w:rPr>
                      <w:rFonts w:ascii="Work Sans" w:hAnsi="Work Sans"/>
                    </w:rPr>
                  </w:pPr>
                  <w:r w:rsidRPr="0009691C">
                    <w:rPr>
                      <w:rFonts w:ascii="Work Sans" w:hAnsi="Work Sans"/>
                    </w:rPr>
                    <w:t xml:space="preserve">        261</w:t>
                  </w:r>
                </w:p>
              </w:tc>
              <w:tc>
                <w:tcPr>
                  <w:tcW w:w="1275" w:type="dxa"/>
                </w:tcPr>
                <w:p w14:paraId="6EE99766" w14:textId="77777777" w:rsidR="000C77C6" w:rsidRPr="0009691C" w:rsidRDefault="000C77C6" w:rsidP="00B659ED">
                  <w:pPr>
                    <w:jc w:val="right"/>
                    <w:rPr>
                      <w:rFonts w:ascii="Work Sans" w:hAnsi="Work Sans"/>
                    </w:rPr>
                  </w:pPr>
                  <w:r w:rsidRPr="0009691C">
                    <w:rPr>
                      <w:rFonts w:ascii="Work Sans" w:hAnsi="Work Sans"/>
                    </w:rPr>
                    <w:t>329</w:t>
                  </w:r>
                </w:p>
              </w:tc>
              <w:tc>
                <w:tcPr>
                  <w:tcW w:w="1275" w:type="dxa"/>
                </w:tcPr>
                <w:p w14:paraId="38C35696" w14:textId="2A564CD5" w:rsidR="000C77C6" w:rsidRPr="0009691C" w:rsidRDefault="00AF2EFC" w:rsidP="00B659ED">
                  <w:pPr>
                    <w:jc w:val="right"/>
                    <w:rPr>
                      <w:rFonts w:ascii="Work Sans" w:hAnsi="Work Sans"/>
                    </w:rPr>
                  </w:pPr>
                  <w:r w:rsidRPr="0009691C">
                    <w:rPr>
                      <w:rFonts w:ascii="Work Sans" w:hAnsi="Work Sans"/>
                    </w:rPr>
                    <w:t>316</w:t>
                  </w:r>
                </w:p>
              </w:tc>
            </w:tr>
          </w:tbl>
          <w:p w14:paraId="013509A1" w14:textId="51E50FB0" w:rsidR="000D32C8" w:rsidRPr="0009691C" w:rsidRDefault="00AF2EFC" w:rsidP="00AF2EFC">
            <w:pPr>
              <w:spacing w:before="60" w:after="120"/>
              <w:jc w:val="both"/>
              <w:rPr>
                <w:rFonts w:ascii="Work Sans" w:hAnsi="Work Sans"/>
              </w:rPr>
            </w:pPr>
            <w:r w:rsidRPr="0009691C">
              <w:rPr>
                <w:rFonts w:ascii="Work Sans" w:hAnsi="Work Sans"/>
              </w:rPr>
              <w:t xml:space="preserve">      </w:t>
            </w:r>
            <w:r w:rsidR="00B659ED" w:rsidRPr="0009691C">
              <w:rPr>
                <w:rFonts w:ascii="Work Sans" w:hAnsi="Work Sans"/>
              </w:rPr>
              <w:t>*Prior to April 2024, part of Landlord Services</w:t>
            </w:r>
          </w:p>
          <w:p w14:paraId="6ABF251A"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Reviews by Service Area</w:t>
            </w:r>
          </w:p>
          <w:p w14:paraId="41FF3874" w14:textId="08C26FC5" w:rsidR="00B659ED" w:rsidRPr="0009691C" w:rsidRDefault="00B659ED"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The graph below shows the number of reviews received by the service area in 202</w:t>
            </w:r>
            <w:r w:rsidR="009B5E65" w:rsidRPr="0009691C">
              <w:rPr>
                <w:rFonts w:ascii="Work Sans" w:hAnsi="Work Sans"/>
              </w:rPr>
              <w:t>5</w:t>
            </w:r>
            <w:r w:rsidRPr="0009691C">
              <w:rPr>
                <w:rFonts w:ascii="Work Sans" w:hAnsi="Work Sans"/>
              </w:rPr>
              <w:t>/2</w:t>
            </w:r>
            <w:r w:rsidR="009B5E65" w:rsidRPr="0009691C">
              <w:rPr>
                <w:rFonts w:ascii="Work Sans" w:hAnsi="Work Sans"/>
              </w:rPr>
              <w:t>6</w:t>
            </w:r>
            <w:r w:rsidRPr="0009691C">
              <w:rPr>
                <w:rFonts w:ascii="Work Sans" w:hAnsi="Work Sans"/>
              </w:rPr>
              <w:t xml:space="preserve">.  </w:t>
            </w:r>
          </w:p>
          <w:p w14:paraId="77258F8E" w14:textId="2BD4B10E" w:rsidR="00B659ED" w:rsidRPr="0009691C" w:rsidRDefault="00C260FC" w:rsidP="00B659ED">
            <w:pPr>
              <w:jc w:val="center"/>
              <w:rPr>
                <w:rFonts w:ascii="Work Sans" w:hAnsi="Work Sans"/>
              </w:rPr>
            </w:pPr>
            <w:r w:rsidRPr="0009691C">
              <w:rPr>
                <w:noProof/>
              </w:rPr>
              <w:drawing>
                <wp:inline distT="0" distB="0" distL="0" distR="0" wp14:anchorId="19994061" wp14:editId="274777FF">
                  <wp:extent cx="6344285" cy="3415665"/>
                  <wp:effectExtent l="0" t="0" r="18415" b="13335"/>
                  <wp:docPr id="1352319968" name="Chart 1">
                    <a:extLst xmlns:a="http://schemas.openxmlformats.org/drawingml/2006/main">
                      <a:ext uri="{FF2B5EF4-FFF2-40B4-BE49-F238E27FC236}">
                        <a16:creationId xmlns:a16="http://schemas.microsoft.com/office/drawing/2014/main" id="{AD5347BC-BDCA-9D02-AF17-DD2CE71A1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AB6D24" w14:textId="77777777" w:rsidR="007432CD" w:rsidRPr="0009691C" w:rsidRDefault="005B01BF"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Of the 41 Stage 2 reviews, 35 related to Property Services, maintenance, and contractor issues, accounting for 85% of all reviews. This represents an increase compared to previous years; in 2024/25, 78% (21 of 29) of Stage 2 reviews fell into this category. However, as in previous years, this trend mirrors the proportion of complaints received at Stage 1, where 84% were also related to Property Services, maintenance, and contractors.</w:t>
            </w:r>
          </w:p>
          <w:p w14:paraId="16B07002" w14:textId="3D84D9FC" w:rsidR="007432C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Property Services is the area with the most reviews, of the 2</w:t>
            </w:r>
            <w:r w:rsidR="005209CD" w:rsidRPr="0009691C">
              <w:rPr>
                <w:rFonts w:ascii="Work Sans" w:hAnsi="Work Sans"/>
              </w:rPr>
              <w:t>66</w:t>
            </w:r>
            <w:r w:rsidRPr="0009691C">
              <w:rPr>
                <w:rFonts w:ascii="Work Sans" w:hAnsi="Work Sans"/>
              </w:rPr>
              <w:t xml:space="preserve"> complaints recorded for Property Services, only </w:t>
            </w:r>
            <w:r w:rsidR="005209CD" w:rsidRPr="0009691C">
              <w:rPr>
                <w:rFonts w:ascii="Work Sans" w:hAnsi="Work Sans"/>
              </w:rPr>
              <w:t>35</w:t>
            </w:r>
            <w:r w:rsidRPr="0009691C">
              <w:rPr>
                <w:rFonts w:ascii="Work Sans" w:hAnsi="Work Sans"/>
              </w:rPr>
              <w:t xml:space="preserve"> of these went to review.  </w:t>
            </w:r>
            <w:r w:rsidR="006C1850" w:rsidRPr="0009691C">
              <w:rPr>
                <w:rFonts w:ascii="Work Sans" w:hAnsi="Work Sans"/>
              </w:rPr>
              <w:t>87</w:t>
            </w:r>
            <w:r w:rsidRPr="0009691C">
              <w:rPr>
                <w:rFonts w:ascii="Work Sans" w:hAnsi="Work Sans"/>
              </w:rPr>
              <w:t>% were resolved at stage 1, 23</w:t>
            </w:r>
            <w:r w:rsidR="006C1850" w:rsidRPr="0009691C">
              <w:rPr>
                <w:rFonts w:ascii="Work Sans" w:hAnsi="Work Sans"/>
              </w:rPr>
              <w:t>1</w:t>
            </w:r>
            <w:r w:rsidRPr="0009691C">
              <w:rPr>
                <w:rFonts w:ascii="Work Sans" w:hAnsi="Work Sans"/>
              </w:rPr>
              <w:t xml:space="preserve"> complaints.</w:t>
            </w:r>
            <w:r w:rsidR="00116904" w:rsidRPr="0009691C">
              <w:rPr>
                <w:rFonts w:ascii="Work Sans" w:hAnsi="Work Sans"/>
              </w:rPr>
              <w:t xml:space="preserve">  </w:t>
            </w:r>
            <w:r w:rsidR="00795830" w:rsidRPr="0009691C">
              <w:rPr>
                <w:rFonts w:ascii="Work Sans" w:hAnsi="Work Sans"/>
              </w:rPr>
              <w:t xml:space="preserve">This </w:t>
            </w:r>
            <w:r w:rsidR="00FA567E" w:rsidRPr="0009691C">
              <w:rPr>
                <w:rFonts w:ascii="Work Sans" w:hAnsi="Work Sans"/>
              </w:rPr>
              <w:t>represents a slight decrease</w:t>
            </w:r>
            <w:r w:rsidR="007432CD" w:rsidRPr="0009691C">
              <w:rPr>
                <w:rFonts w:ascii="Work Sans" w:hAnsi="Work Sans"/>
              </w:rPr>
              <w:t xml:space="preserve"> compared to the previous </w:t>
            </w:r>
            <w:r w:rsidR="007F4221" w:rsidRPr="0009691C">
              <w:rPr>
                <w:rFonts w:ascii="Work Sans" w:hAnsi="Work Sans"/>
              </w:rPr>
              <w:t>year</w:t>
            </w:r>
            <w:r w:rsidR="007432CD" w:rsidRPr="0009691C">
              <w:rPr>
                <w:rFonts w:ascii="Work Sans" w:hAnsi="Work Sans"/>
              </w:rPr>
              <w:t>,</w:t>
            </w:r>
            <w:r w:rsidR="007F4221" w:rsidRPr="0009691C">
              <w:rPr>
                <w:rFonts w:ascii="Work Sans" w:hAnsi="Work Sans"/>
              </w:rPr>
              <w:t xml:space="preserve"> </w:t>
            </w:r>
            <w:r w:rsidR="007432CD" w:rsidRPr="0009691C">
              <w:rPr>
                <w:rFonts w:ascii="Work Sans" w:hAnsi="Work Sans"/>
              </w:rPr>
              <w:t>when 92% of Property Services complaints were resolved at Stage 1</w:t>
            </w:r>
          </w:p>
          <w:p w14:paraId="70A3C29B" w14:textId="1DC7D7D9" w:rsidR="00B659ED" w:rsidRPr="0009691C" w:rsidRDefault="00B659ED" w:rsidP="007432CD">
            <w:pPr>
              <w:pStyle w:val="ListParagraph"/>
              <w:spacing w:before="60" w:after="120"/>
              <w:ind w:left="819"/>
              <w:contextualSpacing w:val="0"/>
              <w:jc w:val="both"/>
              <w:rPr>
                <w:rFonts w:ascii="Work Sans" w:hAnsi="Work Sans"/>
                <w:b/>
                <w:bCs/>
              </w:rPr>
            </w:pPr>
            <w:r w:rsidRPr="0009691C">
              <w:rPr>
                <w:rFonts w:ascii="Work Sans" w:hAnsi="Work Sans"/>
                <w:b/>
                <w:bCs/>
              </w:rPr>
              <w:t xml:space="preserve">Complaints by Contractor </w:t>
            </w:r>
          </w:p>
          <w:p w14:paraId="556D9723" w14:textId="77777777"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graph below shows the breakdown of complaints for Property Services and maintenance services by team or contractor and month by month. </w:t>
            </w:r>
          </w:p>
          <w:p w14:paraId="684C0A08" w14:textId="77777777" w:rsidR="00B659ED" w:rsidRPr="0009691C" w:rsidRDefault="00B659ED" w:rsidP="00B659ED">
            <w:pPr>
              <w:rPr>
                <w:rFonts w:ascii="Work Sans" w:hAnsi="Work Sans"/>
              </w:rPr>
            </w:pPr>
          </w:p>
          <w:p w14:paraId="4829B976" w14:textId="0A7D4557" w:rsidR="00B659ED" w:rsidRPr="0009691C" w:rsidRDefault="00627189" w:rsidP="00B659ED">
            <w:pPr>
              <w:jc w:val="center"/>
              <w:rPr>
                <w:rFonts w:ascii="Work Sans" w:hAnsi="Work Sans"/>
              </w:rPr>
            </w:pPr>
            <w:r w:rsidRPr="0009691C">
              <w:rPr>
                <w:noProof/>
              </w:rPr>
              <w:drawing>
                <wp:inline distT="0" distB="0" distL="0" distR="0" wp14:anchorId="02D9C3AC" wp14:editId="77343F46">
                  <wp:extent cx="6344285" cy="3728085"/>
                  <wp:effectExtent l="0" t="0" r="18415" b="5715"/>
                  <wp:docPr id="19993734" name="Chart 1">
                    <a:extLst xmlns:a="http://schemas.openxmlformats.org/drawingml/2006/main">
                      <a:ext uri="{FF2B5EF4-FFF2-40B4-BE49-F238E27FC236}">
                        <a16:creationId xmlns:a16="http://schemas.microsoft.com/office/drawing/2014/main" id="{BCB8012F-BAD3-43E9-A8EE-5E92D82CB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BCB492" w14:textId="77777777" w:rsidR="00B659ED" w:rsidRPr="0009691C" w:rsidRDefault="00B659ED" w:rsidP="00B659ED">
            <w:pPr>
              <w:rPr>
                <w:rFonts w:ascii="Work Sans" w:hAnsi="Work Sans"/>
              </w:rPr>
            </w:pPr>
          </w:p>
          <w:p w14:paraId="7967EA33" w14:textId="77777777"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The following table gives a brief description of the works carried out by the above contractors. </w:t>
            </w:r>
          </w:p>
          <w:tbl>
            <w:tblPr>
              <w:tblW w:w="843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4"/>
              <w:gridCol w:w="6016"/>
            </w:tblGrid>
            <w:tr w:rsidR="00B659ED" w:rsidRPr="0009691C" w14:paraId="09D65C5C" w14:textId="77777777">
              <w:trPr>
                <w:trHeight w:val="300"/>
                <w:jc w:val="center"/>
              </w:trPr>
              <w:tc>
                <w:tcPr>
                  <w:tcW w:w="2414" w:type="dxa"/>
                  <w:tcBorders>
                    <w:top w:val="single" w:sz="6" w:space="0" w:color="auto"/>
                    <w:left w:val="single" w:sz="6" w:space="0" w:color="auto"/>
                    <w:bottom w:val="single" w:sz="6" w:space="0" w:color="auto"/>
                    <w:right w:val="single" w:sz="6" w:space="0" w:color="auto"/>
                  </w:tcBorders>
                  <w:hideMark/>
                </w:tcPr>
                <w:p w14:paraId="2290AA54" w14:textId="77777777" w:rsidR="00B659ED" w:rsidRPr="0009691C" w:rsidRDefault="00B659ED" w:rsidP="00B659ED">
                  <w:pPr>
                    <w:textAlignment w:val="baseline"/>
                    <w:rPr>
                      <w:rFonts w:ascii="Work Sans" w:hAnsi="Work Sans"/>
                    </w:rPr>
                  </w:pPr>
                  <w:r w:rsidRPr="0009691C">
                    <w:rPr>
                      <w:rFonts w:ascii="Work Sans" w:hAnsi="Work Sans"/>
                    </w:rPr>
                    <w:t>Ashley and McDonough</w:t>
                  </w:r>
                </w:p>
              </w:tc>
              <w:tc>
                <w:tcPr>
                  <w:tcW w:w="6016" w:type="dxa"/>
                  <w:tcBorders>
                    <w:top w:val="single" w:sz="6" w:space="0" w:color="auto"/>
                    <w:left w:val="single" w:sz="6" w:space="0" w:color="auto"/>
                    <w:bottom w:val="single" w:sz="6" w:space="0" w:color="auto"/>
                    <w:right w:val="single" w:sz="6" w:space="0" w:color="auto"/>
                  </w:tcBorders>
                  <w:hideMark/>
                </w:tcPr>
                <w:p w14:paraId="22E31F7A" w14:textId="77777777" w:rsidR="00B659ED" w:rsidRPr="0009691C" w:rsidRDefault="00B659ED" w:rsidP="00B659ED">
                  <w:pPr>
                    <w:textAlignment w:val="baseline"/>
                    <w:rPr>
                      <w:rFonts w:ascii="Work Sans" w:hAnsi="Work Sans"/>
                    </w:rPr>
                  </w:pPr>
                  <w:r w:rsidRPr="0009691C">
                    <w:rPr>
                      <w:rFonts w:ascii="Work Sans" w:hAnsi="Work Sans"/>
                    </w:rPr>
                    <w:t>Day-to-day repairs and out-of-hours repairs (for heating and hot water)</w:t>
                  </w:r>
                  <w:r w:rsidRPr="0009691C">
                    <w:rPr>
                      <w:rFonts w:ascii="Cambria Math" w:hAnsi="Cambria Math" w:cs="Cambria Math"/>
                    </w:rPr>
                    <w:t>  </w:t>
                  </w:r>
                  <w:r w:rsidRPr="0009691C">
                    <w:rPr>
                      <w:rFonts w:ascii="Work Sans" w:hAnsi="Work Sans"/>
                    </w:rPr>
                    <w:t> </w:t>
                  </w:r>
                </w:p>
                <w:p w14:paraId="7E3B3F51" w14:textId="77777777" w:rsidR="00B659ED" w:rsidRPr="0009691C" w:rsidRDefault="00B659ED" w:rsidP="00B659ED">
                  <w:pPr>
                    <w:textAlignment w:val="baseline"/>
                    <w:rPr>
                      <w:rFonts w:ascii="Work Sans" w:hAnsi="Work Sans"/>
                    </w:rPr>
                  </w:pPr>
                  <w:r w:rsidRPr="0009691C">
                    <w:rPr>
                      <w:rFonts w:ascii="Work Sans" w:hAnsi="Work Sans"/>
                    </w:rPr>
                    <w:t>Gas servicing</w:t>
                  </w:r>
                  <w:r w:rsidRPr="0009691C">
                    <w:rPr>
                      <w:rFonts w:ascii="Cambria Math" w:hAnsi="Cambria Math" w:cs="Cambria Math"/>
                    </w:rPr>
                    <w:t>  </w:t>
                  </w:r>
                  <w:r w:rsidRPr="0009691C">
                    <w:rPr>
                      <w:rFonts w:ascii="Work Sans" w:hAnsi="Work Sans"/>
                    </w:rPr>
                    <w:t> </w:t>
                  </w:r>
                </w:p>
                <w:p w14:paraId="41F908E0" w14:textId="77777777" w:rsidR="00B659ED" w:rsidRPr="0009691C" w:rsidRDefault="00B659ED" w:rsidP="00B659ED">
                  <w:pPr>
                    <w:textAlignment w:val="baseline"/>
                    <w:rPr>
                      <w:rFonts w:ascii="Work Sans" w:hAnsi="Work Sans"/>
                    </w:rPr>
                  </w:pPr>
                  <w:r w:rsidRPr="0009691C">
                    <w:rPr>
                      <w:rFonts w:ascii="Work Sans" w:hAnsi="Work Sans"/>
                    </w:rPr>
                    <w:t>Planned works (SIP)</w:t>
                  </w:r>
                  <w:r w:rsidRPr="0009691C">
                    <w:rPr>
                      <w:rFonts w:ascii="Cambria Math" w:hAnsi="Cambria Math" w:cs="Cambria Math"/>
                    </w:rPr>
                    <w:t> </w:t>
                  </w:r>
                  <w:r w:rsidRPr="0009691C">
                    <w:rPr>
                      <w:rFonts w:ascii="Work Sans" w:hAnsi="Work Sans"/>
                    </w:rPr>
                    <w:t> </w:t>
                  </w:r>
                </w:p>
              </w:tc>
            </w:tr>
            <w:tr w:rsidR="00B659ED" w:rsidRPr="0009691C" w14:paraId="36D2E27E" w14:textId="77777777">
              <w:trPr>
                <w:trHeight w:val="300"/>
                <w:jc w:val="center"/>
              </w:trPr>
              <w:tc>
                <w:tcPr>
                  <w:tcW w:w="2414" w:type="dxa"/>
                  <w:tcBorders>
                    <w:top w:val="single" w:sz="6" w:space="0" w:color="auto"/>
                    <w:left w:val="single" w:sz="6" w:space="0" w:color="auto"/>
                    <w:bottom w:val="single" w:sz="6" w:space="0" w:color="auto"/>
                    <w:right w:val="single" w:sz="6" w:space="0" w:color="auto"/>
                  </w:tcBorders>
                  <w:hideMark/>
                </w:tcPr>
                <w:p w14:paraId="7FA1E6DF" w14:textId="77777777" w:rsidR="00B659ED" w:rsidRPr="0009691C" w:rsidRDefault="00B659ED" w:rsidP="00B659ED">
                  <w:pPr>
                    <w:textAlignment w:val="baseline"/>
                    <w:rPr>
                      <w:rFonts w:ascii="Work Sans" w:hAnsi="Work Sans"/>
                    </w:rPr>
                  </w:pPr>
                  <w:proofErr w:type="spellStart"/>
                  <w:r w:rsidRPr="0009691C">
                    <w:rPr>
                      <w:rFonts w:ascii="Work Sans" w:hAnsi="Work Sans"/>
                    </w:rPr>
                    <w:t>Burngreave</w:t>
                  </w:r>
                  <w:proofErr w:type="spellEnd"/>
                  <w:r w:rsidRPr="0009691C">
                    <w:rPr>
                      <w:rFonts w:ascii="Work Sans" w:hAnsi="Work Sans"/>
                    </w:rPr>
                    <w:t xml:space="preserve"> Building Company (BBC)</w:t>
                  </w:r>
                  <w:r w:rsidRPr="0009691C">
                    <w:rPr>
                      <w:rFonts w:ascii="Cambria Math" w:hAnsi="Cambria Math" w:cs="Cambria Math"/>
                    </w:rPr>
                    <w:t> </w:t>
                  </w:r>
                  <w:r w:rsidRPr="0009691C">
                    <w:rPr>
                      <w:rFonts w:ascii="Work Sans" w:hAnsi="Work Sans"/>
                    </w:rPr>
                    <w:t> </w:t>
                  </w:r>
                </w:p>
              </w:tc>
              <w:tc>
                <w:tcPr>
                  <w:tcW w:w="6016" w:type="dxa"/>
                  <w:tcBorders>
                    <w:top w:val="single" w:sz="6" w:space="0" w:color="auto"/>
                    <w:left w:val="single" w:sz="6" w:space="0" w:color="auto"/>
                    <w:bottom w:val="single" w:sz="6" w:space="0" w:color="auto"/>
                    <w:right w:val="single" w:sz="6" w:space="0" w:color="auto"/>
                  </w:tcBorders>
                  <w:hideMark/>
                </w:tcPr>
                <w:p w14:paraId="0122F4B9" w14:textId="77777777" w:rsidR="00B659ED" w:rsidRPr="0009691C" w:rsidRDefault="00B659ED" w:rsidP="00B659ED">
                  <w:pPr>
                    <w:textAlignment w:val="baseline"/>
                    <w:rPr>
                      <w:rFonts w:ascii="Work Sans" w:hAnsi="Work Sans"/>
                    </w:rPr>
                  </w:pPr>
                  <w:r w:rsidRPr="0009691C">
                    <w:rPr>
                      <w:rFonts w:ascii="Work Sans" w:hAnsi="Work Sans"/>
                    </w:rPr>
                    <w:t>Day-to-day repairs and out-of-hours repairs (for properties outside of the SCR).</w:t>
                  </w:r>
                  <w:r w:rsidRPr="0009691C">
                    <w:rPr>
                      <w:rFonts w:ascii="Cambria Math" w:hAnsi="Cambria Math" w:cs="Cambria Math"/>
                    </w:rPr>
                    <w:t>  </w:t>
                  </w:r>
                  <w:r w:rsidRPr="0009691C">
                    <w:rPr>
                      <w:rFonts w:ascii="Work Sans" w:hAnsi="Work Sans"/>
                    </w:rPr>
                    <w:t> </w:t>
                  </w:r>
                </w:p>
                <w:p w14:paraId="35130C7D" w14:textId="77777777" w:rsidR="00B659ED" w:rsidRPr="0009691C" w:rsidRDefault="00B659ED" w:rsidP="00B659ED">
                  <w:pPr>
                    <w:textAlignment w:val="baseline"/>
                    <w:rPr>
                      <w:rFonts w:ascii="Work Sans" w:hAnsi="Work Sans"/>
                    </w:rPr>
                  </w:pPr>
                  <w:r w:rsidRPr="0009691C">
                    <w:rPr>
                      <w:rFonts w:ascii="Work Sans" w:hAnsi="Work Sans"/>
                    </w:rPr>
                    <w:t>Void works</w:t>
                  </w:r>
                  <w:r w:rsidRPr="0009691C">
                    <w:rPr>
                      <w:rFonts w:ascii="Cambria Math" w:hAnsi="Cambria Math" w:cs="Cambria Math"/>
                    </w:rPr>
                    <w:t> </w:t>
                  </w:r>
                  <w:r w:rsidRPr="0009691C">
                    <w:rPr>
                      <w:rFonts w:ascii="Work Sans" w:hAnsi="Work Sans"/>
                    </w:rPr>
                    <w:t> </w:t>
                  </w:r>
                </w:p>
              </w:tc>
            </w:tr>
            <w:tr w:rsidR="00B659ED" w:rsidRPr="0009691C" w14:paraId="79CCBB2F" w14:textId="77777777">
              <w:trPr>
                <w:trHeight w:val="300"/>
                <w:jc w:val="center"/>
              </w:trPr>
              <w:tc>
                <w:tcPr>
                  <w:tcW w:w="2414" w:type="dxa"/>
                  <w:tcBorders>
                    <w:top w:val="single" w:sz="6" w:space="0" w:color="auto"/>
                    <w:left w:val="single" w:sz="6" w:space="0" w:color="auto"/>
                    <w:bottom w:val="single" w:sz="6" w:space="0" w:color="auto"/>
                    <w:right w:val="single" w:sz="6" w:space="0" w:color="auto"/>
                  </w:tcBorders>
                  <w:hideMark/>
                </w:tcPr>
                <w:p w14:paraId="5347BAE6" w14:textId="77777777" w:rsidR="00B659ED" w:rsidRPr="0009691C" w:rsidRDefault="00B659ED" w:rsidP="00B659ED">
                  <w:pPr>
                    <w:textAlignment w:val="baseline"/>
                    <w:rPr>
                      <w:rFonts w:ascii="Work Sans" w:hAnsi="Work Sans"/>
                    </w:rPr>
                  </w:pPr>
                  <w:r w:rsidRPr="0009691C">
                    <w:rPr>
                      <w:rFonts w:ascii="Work Sans" w:hAnsi="Work Sans"/>
                    </w:rPr>
                    <w:t>Home Maintenance Team (HMT)</w:t>
                  </w:r>
                  <w:r w:rsidRPr="0009691C">
                    <w:rPr>
                      <w:rFonts w:ascii="Cambria Math" w:hAnsi="Cambria Math" w:cs="Cambria Math"/>
                    </w:rPr>
                    <w:t> </w:t>
                  </w:r>
                  <w:r w:rsidRPr="0009691C">
                    <w:rPr>
                      <w:rFonts w:ascii="Work Sans" w:hAnsi="Work Sans"/>
                    </w:rPr>
                    <w:t> </w:t>
                  </w:r>
                </w:p>
              </w:tc>
              <w:tc>
                <w:tcPr>
                  <w:tcW w:w="6016" w:type="dxa"/>
                  <w:tcBorders>
                    <w:top w:val="single" w:sz="6" w:space="0" w:color="auto"/>
                    <w:left w:val="single" w:sz="6" w:space="0" w:color="auto"/>
                    <w:bottom w:val="single" w:sz="6" w:space="0" w:color="auto"/>
                    <w:right w:val="single" w:sz="6" w:space="0" w:color="auto"/>
                  </w:tcBorders>
                  <w:hideMark/>
                </w:tcPr>
                <w:p w14:paraId="01D9F7DA" w14:textId="77777777" w:rsidR="00B659ED" w:rsidRPr="0009691C" w:rsidRDefault="00B659ED" w:rsidP="00B659ED">
                  <w:pPr>
                    <w:textAlignment w:val="baseline"/>
                    <w:rPr>
                      <w:rFonts w:ascii="Work Sans" w:hAnsi="Work Sans"/>
                    </w:rPr>
                  </w:pPr>
                  <w:r w:rsidRPr="0009691C">
                    <w:rPr>
                      <w:rFonts w:ascii="Work Sans" w:hAnsi="Work Sans"/>
                    </w:rPr>
                    <w:t>Day-to-day repairs</w:t>
                  </w:r>
                  <w:r w:rsidRPr="0009691C">
                    <w:rPr>
                      <w:rFonts w:ascii="Cambria Math" w:hAnsi="Cambria Math" w:cs="Cambria Math"/>
                    </w:rPr>
                    <w:t> </w:t>
                  </w:r>
                  <w:r w:rsidRPr="0009691C">
                    <w:rPr>
                      <w:rFonts w:ascii="Work Sans" w:hAnsi="Work Sans"/>
                    </w:rPr>
                    <w:t> </w:t>
                  </w:r>
                </w:p>
                <w:p w14:paraId="2206280F" w14:textId="77777777" w:rsidR="00B659ED" w:rsidRPr="0009691C" w:rsidRDefault="00B659ED" w:rsidP="00B659ED">
                  <w:pPr>
                    <w:textAlignment w:val="baseline"/>
                    <w:rPr>
                      <w:rFonts w:ascii="Work Sans" w:hAnsi="Work Sans"/>
                    </w:rPr>
                  </w:pPr>
                  <w:r w:rsidRPr="0009691C">
                    <w:rPr>
                      <w:rFonts w:ascii="Work Sans" w:hAnsi="Work Sans"/>
                    </w:rPr>
                    <w:t>Void works</w:t>
                  </w:r>
                  <w:r w:rsidRPr="0009691C">
                    <w:rPr>
                      <w:rFonts w:ascii="Cambria Math" w:hAnsi="Cambria Math" w:cs="Cambria Math"/>
                    </w:rPr>
                    <w:t>  </w:t>
                  </w:r>
                  <w:r w:rsidRPr="0009691C">
                    <w:rPr>
                      <w:rFonts w:ascii="Work Sans" w:hAnsi="Work Sans"/>
                    </w:rPr>
                    <w:t> </w:t>
                  </w:r>
                </w:p>
                <w:p w14:paraId="613B9454" w14:textId="77777777" w:rsidR="00B659ED" w:rsidRPr="0009691C" w:rsidRDefault="00B659ED" w:rsidP="00B659ED">
                  <w:pPr>
                    <w:textAlignment w:val="baseline"/>
                    <w:rPr>
                      <w:rFonts w:ascii="Work Sans" w:hAnsi="Work Sans"/>
                    </w:rPr>
                  </w:pPr>
                  <w:r w:rsidRPr="0009691C">
                    <w:rPr>
                      <w:rFonts w:ascii="Work Sans" w:hAnsi="Work Sans"/>
                    </w:rPr>
                    <w:t>Planned works (SIP)</w:t>
                  </w:r>
                  <w:r w:rsidRPr="0009691C">
                    <w:rPr>
                      <w:rFonts w:ascii="Cambria Math" w:hAnsi="Cambria Math" w:cs="Cambria Math"/>
                    </w:rPr>
                    <w:t> </w:t>
                  </w:r>
                  <w:r w:rsidRPr="0009691C">
                    <w:rPr>
                      <w:rFonts w:ascii="Work Sans" w:hAnsi="Work Sans"/>
                    </w:rPr>
                    <w:t> </w:t>
                  </w:r>
                </w:p>
                <w:p w14:paraId="45B632EE" w14:textId="77777777" w:rsidR="00B659ED" w:rsidRPr="0009691C" w:rsidRDefault="00B659ED" w:rsidP="00B659ED">
                  <w:pPr>
                    <w:textAlignment w:val="baseline"/>
                    <w:rPr>
                      <w:rFonts w:ascii="Work Sans" w:hAnsi="Work Sans"/>
                    </w:rPr>
                  </w:pPr>
                  <w:r w:rsidRPr="0009691C">
                    <w:rPr>
                      <w:rFonts w:ascii="Work Sans" w:hAnsi="Work Sans"/>
                    </w:rPr>
                    <w:t>Cyclical maintenance</w:t>
                  </w:r>
                  <w:r w:rsidRPr="0009691C">
                    <w:rPr>
                      <w:rFonts w:ascii="Cambria Math" w:hAnsi="Cambria Math" w:cs="Cambria Math"/>
                    </w:rPr>
                    <w:t> </w:t>
                  </w:r>
                  <w:r w:rsidRPr="0009691C">
                    <w:rPr>
                      <w:rFonts w:ascii="Work Sans" w:hAnsi="Work Sans"/>
                    </w:rPr>
                    <w:t> </w:t>
                  </w:r>
                </w:p>
              </w:tc>
            </w:tr>
            <w:tr w:rsidR="00B659ED" w:rsidRPr="0009691C" w14:paraId="634D1DCF" w14:textId="77777777">
              <w:trPr>
                <w:trHeight w:val="300"/>
                <w:jc w:val="center"/>
              </w:trPr>
              <w:tc>
                <w:tcPr>
                  <w:tcW w:w="2414" w:type="dxa"/>
                  <w:tcBorders>
                    <w:top w:val="single" w:sz="6" w:space="0" w:color="auto"/>
                    <w:left w:val="single" w:sz="6" w:space="0" w:color="auto"/>
                    <w:bottom w:val="single" w:sz="6" w:space="0" w:color="auto"/>
                    <w:right w:val="single" w:sz="6" w:space="0" w:color="auto"/>
                  </w:tcBorders>
                  <w:hideMark/>
                </w:tcPr>
                <w:p w14:paraId="3E35FB67" w14:textId="77777777" w:rsidR="00B659ED" w:rsidRPr="0009691C" w:rsidRDefault="00B659ED" w:rsidP="00B659ED">
                  <w:pPr>
                    <w:textAlignment w:val="baseline"/>
                    <w:rPr>
                      <w:rFonts w:ascii="Work Sans" w:hAnsi="Work Sans"/>
                    </w:rPr>
                  </w:pPr>
                  <w:r w:rsidRPr="0009691C">
                    <w:rPr>
                      <w:rFonts w:ascii="Work Sans" w:hAnsi="Work Sans"/>
                    </w:rPr>
                    <w:t>NEAT </w:t>
                  </w:r>
                </w:p>
              </w:tc>
              <w:tc>
                <w:tcPr>
                  <w:tcW w:w="6016" w:type="dxa"/>
                  <w:tcBorders>
                    <w:top w:val="single" w:sz="6" w:space="0" w:color="auto"/>
                    <w:left w:val="single" w:sz="6" w:space="0" w:color="auto"/>
                    <w:bottom w:val="single" w:sz="6" w:space="0" w:color="auto"/>
                    <w:right w:val="single" w:sz="6" w:space="0" w:color="auto"/>
                  </w:tcBorders>
                  <w:hideMark/>
                </w:tcPr>
                <w:p w14:paraId="37FA65AD" w14:textId="77777777" w:rsidR="00B659ED" w:rsidRPr="0009691C" w:rsidRDefault="00B659ED" w:rsidP="00B659ED">
                  <w:pPr>
                    <w:textAlignment w:val="baseline"/>
                    <w:rPr>
                      <w:rFonts w:ascii="Work Sans" w:hAnsi="Work Sans"/>
                    </w:rPr>
                  </w:pPr>
                  <w:r w:rsidRPr="0009691C">
                    <w:rPr>
                      <w:rFonts w:ascii="Work Sans" w:hAnsi="Work Sans"/>
                    </w:rPr>
                    <w:t>Estate Maintenance e.g. gardening and cleaning works </w:t>
                  </w:r>
                </w:p>
                <w:p w14:paraId="1C1B6DB9" w14:textId="77777777" w:rsidR="00B659ED" w:rsidRPr="0009691C" w:rsidRDefault="00B659ED" w:rsidP="00B659ED">
                  <w:pPr>
                    <w:textAlignment w:val="baseline"/>
                    <w:rPr>
                      <w:rFonts w:ascii="Work Sans" w:hAnsi="Work Sans"/>
                    </w:rPr>
                  </w:pPr>
                  <w:r w:rsidRPr="0009691C">
                    <w:rPr>
                      <w:rFonts w:ascii="Work Sans" w:hAnsi="Work Sans"/>
                    </w:rPr>
                    <w:t>Void Works </w:t>
                  </w:r>
                </w:p>
              </w:tc>
            </w:tr>
            <w:tr w:rsidR="00B659ED" w:rsidRPr="0009691C" w14:paraId="03435BDC" w14:textId="77777777">
              <w:trPr>
                <w:trHeight w:val="300"/>
                <w:jc w:val="center"/>
              </w:trPr>
              <w:tc>
                <w:tcPr>
                  <w:tcW w:w="2414" w:type="dxa"/>
                  <w:tcBorders>
                    <w:top w:val="single" w:sz="6" w:space="0" w:color="auto"/>
                    <w:left w:val="single" w:sz="6" w:space="0" w:color="auto"/>
                    <w:bottom w:val="single" w:sz="6" w:space="0" w:color="auto"/>
                    <w:right w:val="single" w:sz="6" w:space="0" w:color="auto"/>
                  </w:tcBorders>
                  <w:hideMark/>
                </w:tcPr>
                <w:p w14:paraId="207D729B" w14:textId="77777777" w:rsidR="00B659ED" w:rsidRPr="0009691C" w:rsidRDefault="00B659ED" w:rsidP="00B659ED">
                  <w:pPr>
                    <w:textAlignment w:val="baseline"/>
                    <w:rPr>
                      <w:rFonts w:ascii="Work Sans" w:hAnsi="Work Sans"/>
                    </w:rPr>
                  </w:pPr>
                  <w:r w:rsidRPr="0009691C">
                    <w:rPr>
                      <w:rFonts w:ascii="Work Sans" w:hAnsi="Work Sans"/>
                    </w:rPr>
                    <w:t>Others (any other 3rd party contractor used by SYHA) </w:t>
                  </w:r>
                </w:p>
              </w:tc>
              <w:tc>
                <w:tcPr>
                  <w:tcW w:w="6016" w:type="dxa"/>
                  <w:tcBorders>
                    <w:top w:val="single" w:sz="6" w:space="0" w:color="auto"/>
                    <w:left w:val="single" w:sz="6" w:space="0" w:color="auto"/>
                    <w:bottom w:val="single" w:sz="6" w:space="0" w:color="auto"/>
                    <w:right w:val="single" w:sz="6" w:space="0" w:color="auto"/>
                  </w:tcBorders>
                  <w:hideMark/>
                </w:tcPr>
                <w:p w14:paraId="07A26713" w14:textId="77777777" w:rsidR="00B659ED" w:rsidRPr="0009691C" w:rsidRDefault="00B659ED" w:rsidP="00B659ED">
                  <w:pPr>
                    <w:textAlignment w:val="baseline"/>
                    <w:rPr>
                      <w:rFonts w:ascii="Work Sans" w:hAnsi="Work Sans"/>
                    </w:rPr>
                  </w:pPr>
                  <w:r w:rsidRPr="0009691C">
                    <w:rPr>
                      <w:rFonts w:ascii="Work Sans" w:hAnsi="Work Sans"/>
                    </w:rPr>
                    <w:t>Examples of work completed are: </w:t>
                  </w:r>
                </w:p>
                <w:p w14:paraId="7C58F14E" w14:textId="77777777" w:rsidR="00B659ED" w:rsidRPr="0009691C" w:rsidRDefault="00B659ED" w:rsidP="00B659ED">
                  <w:pPr>
                    <w:textAlignment w:val="baseline"/>
                    <w:rPr>
                      <w:rFonts w:ascii="Work Sans" w:hAnsi="Work Sans"/>
                    </w:rPr>
                  </w:pPr>
                  <w:r w:rsidRPr="0009691C">
                    <w:rPr>
                      <w:rFonts w:ascii="Work Sans" w:hAnsi="Work Sans"/>
                    </w:rPr>
                    <w:t>Asbestos surveys </w:t>
                  </w:r>
                </w:p>
                <w:p w14:paraId="7B2E4062" w14:textId="77777777" w:rsidR="00B659ED" w:rsidRPr="0009691C" w:rsidRDefault="00B659ED" w:rsidP="00B659ED">
                  <w:pPr>
                    <w:textAlignment w:val="baseline"/>
                    <w:rPr>
                      <w:rFonts w:ascii="Work Sans" w:hAnsi="Work Sans"/>
                    </w:rPr>
                  </w:pPr>
                  <w:r w:rsidRPr="0009691C">
                    <w:rPr>
                      <w:rFonts w:ascii="Work Sans" w:hAnsi="Work Sans"/>
                    </w:rPr>
                    <w:t>Fixed electrical tests </w:t>
                  </w:r>
                </w:p>
                <w:p w14:paraId="3868E3F7" w14:textId="77777777" w:rsidR="00B659ED" w:rsidRPr="0009691C" w:rsidRDefault="00B659ED" w:rsidP="00B659ED">
                  <w:pPr>
                    <w:textAlignment w:val="baseline"/>
                    <w:rPr>
                      <w:rFonts w:ascii="Work Sans" w:hAnsi="Work Sans"/>
                    </w:rPr>
                  </w:pPr>
                  <w:r w:rsidRPr="0009691C">
                    <w:rPr>
                      <w:rFonts w:ascii="Work Sans" w:hAnsi="Work Sans"/>
                    </w:rPr>
                    <w:t>Painting and decorating on DMC cases </w:t>
                  </w:r>
                </w:p>
                <w:p w14:paraId="2AFE5805" w14:textId="77777777" w:rsidR="00B659ED" w:rsidRPr="0009691C" w:rsidRDefault="00B659ED" w:rsidP="00B659ED">
                  <w:pPr>
                    <w:textAlignment w:val="baseline"/>
                    <w:rPr>
                      <w:rFonts w:ascii="Work Sans" w:hAnsi="Work Sans"/>
                    </w:rPr>
                  </w:pPr>
                  <w:r w:rsidRPr="0009691C">
                    <w:rPr>
                      <w:rFonts w:ascii="Work Sans" w:hAnsi="Work Sans"/>
                    </w:rPr>
                    <w:t>Damp works </w:t>
                  </w:r>
                </w:p>
                <w:p w14:paraId="7A8370C2" w14:textId="77777777" w:rsidR="00B659ED" w:rsidRPr="0009691C" w:rsidRDefault="00B659ED" w:rsidP="00B659ED">
                  <w:pPr>
                    <w:textAlignment w:val="baseline"/>
                    <w:rPr>
                      <w:rFonts w:ascii="Work Sans" w:hAnsi="Work Sans"/>
                    </w:rPr>
                  </w:pPr>
                  <w:r w:rsidRPr="0009691C">
                    <w:rPr>
                      <w:rFonts w:ascii="Work Sans" w:hAnsi="Work Sans"/>
                    </w:rPr>
                    <w:t>Legionella testing </w:t>
                  </w:r>
                </w:p>
                <w:p w14:paraId="1F89C47B" w14:textId="77777777" w:rsidR="00B659ED" w:rsidRPr="0009691C" w:rsidRDefault="00B659ED" w:rsidP="00B659ED">
                  <w:pPr>
                    <w:textAlignment w:val="baseline"/>
                    <w:rPr>
                      <w:rFonts w:ascii="Work Sans" w:hAnsi="Work Sans"/>
                    </w:rPr>
                  </w:pPr>
                  <w:proofErr w:type="spellStart"/>
                  <w:r w:rsidRPr="0009691C">
                    <w:rPr>
                      <w:rFonts w:ascii="Work Sans" w:hAnsi="Work Sans"/>
                    </w:rPr>
                    <w:t>Fire works</w:t>
                  </w:r>
                  <w:proofErr w:type="spellEnd"/>
                  <w:r w:rsidRPr="0009691C">
                    <w:rPr>
                      <w:rFonts w:ascii="Work Sans" w:hAnsi="Work Sans"/>
                    </w:rPr>
                    <w:t xml:space="preserve"> (alarms, emergency lighting) </w:t>
                  </w:r>
                </w:p>
              </w:tc>
            </w:tr>
            <w:tr w:rsidR="00B659ED" w:rsidRPr="0009691C" w14:paraId="7FE85B92" w14:textId="77777777">
              <w:trPr>
                <w:trHeight w:val="300"/>
                <w:jc w:val="center"/>
              </w:trPr>
              <w:tc>
                <w:tcPr>
                  <w:tcW w:w="2414" w:type="dxa"/>
                  <w:tcBorders>
                    <w:top w:val="single" w:sz="6" w:space="0" w:color="auto"/>
                    <w:left w:val="single" w:sz="6" w:space="0" w:color="auto"/>
                    <w:bottom w:val="single" w:sz="6" w:space="0" w:color="auto"/>
                    <w:right w:val="single" w:sz="6" w:space="0" w:color="auto"/>
                  </w:tcBorders>
                  <w:hideMark/>
                </w:tcPr>
                <w:p w14:paraId="4A27AABD" w14:textId="77777777" w:rsidR="00B659ED" w:rsidRPr="0009691C" w:rsidRDefault="00B659ED" w:rsidP="00B659ED">
                  <w:pPr>
                    <w:textAlignment w:val="baseline"/>
                    <w:rPr>
                      <w:rFonts w:ascii="Work Sans" w:hAnsi="Work Sans"/>
                    </w:rPr>
                  </w:pPr>
                  <w:r w:rsidRPr="0009691C">
                    <w:rPr>
                      <w:rFonts w:ascii="Work Sans" w:hAnsi="Work Sans"/>
                    </w:rPr>
                    <w:t>Property Services </w:t>
                  </w:r>
                </w:p>
              </w:tc>
              <w:tc>
                <w:tcPr>
                  <w:tcW w:w="6016" w:type="dxa"/>
                  <w:tcBorders>
                    <w:top w:val="single" w:sz="6" w:space="0" w:color="auto"/>
                    <w:left w:val="single" w:sz="6" w:space="0" w:color="auto"/>
                    <w:bottom w:val="single" w:sz="6" w:space="0" w:color="auto"/>
                    <w:right w:val="single" w:sz="6" w:space="0" w:color="auto"/>
                  </w:tcBorders>
                  <w:hideMark/>
                </w:tcPr>
                <w:p w14:paraId="6ECDE7C1" w14:textId="77777777" w:rsidR="00B659ED" w:rsidRPr="0009691C" w:rsidRDefault="00B659ED" w:rsidP="00B659ED">
                  <w:pPr>
                    <w:textAlignment w:val="baseline"/>
                    <w:rPr>
                      <w:rFonts w:ascii="Work Sans" w:hAnsi="Work Sans"/>
                    </w:rPr>
                  </w:pPr>
                  <w:r w:rsidRPr="0009691C">
                    <w:rPr>
                      <w:rFonts w:ascii="Work Sans" w:hAnsi="Work Sans"/>
                    </w:rPr>
                    <w:t>Day-to day Inspections and ordering works </w:t>
                  </w:r>
                </w:p>
                <w:p w14:paraId="6C40D8D0" w14:textId="77777777" w:rsidR="00B659ED" w:rsidRPr="0009691C" w:rsidRDefault="00B659ED" w:rsidP="00B659ED">
                  <w:pPr>
                    <w:textAlignment w:val="baseline"/>
                    <w:rPr>
                      <w:rFonts w:ascii="Work Sans" w:hAnsi="Work Sans"/>
                    </w:rPr>
                  </w:pPr>
                  <w:r w:rsidRPr="0009691C">
                    <w:rPr>
                      <w:rFonts w:ascii="Work Sans" w:hAnsi="Work Sans"/>
                    </w:rPr>
                    <w:t>Disrepair </w:t>
                  </w:r>
                </w:p>
                <w:p w14:paraId="0ECA8D97" w14:textId="77777777" w:rsidR="00B659ED" w:rsidRPr="0009691C" w:rsidRDefault="00B659ED" w:rsidP="00B659ED">
                  <w:pPr>
                    <w:textAlignment w:val="baseline"/>
                    <w:rPr>
                      <w:rFonts w:ascii="Work Sans" w:hAnsi="Work Sans"/>
                    </w:rPr>
                  </w:pPr>
                  <w:r w:rsidRPr="0009691C">
                    <w:rPr>
                      <w:rFonts w:ascii="Work Sans" w:hAnsi="Work Sans"/>
                    </w:rPr>
                    <w:t>DMC cases</w:t>
                  </w:r>
                </w:p>
                <w:p w14:paraId="0BA68E3C" w14:textId="77777777" w:rsidR="00B659ED" w:rsidRPr="0009691C" w:rsidRDefault="00B659ED" w:rsidP="00B659ED">
                  <w:pPr>
                    <w:textAlignment w:val="baseline"/>
                    <w:rPr>
                      <w:rFonts w:ascii="Work Sans" w:hAnsi="Work Sans"/>
                    </w:rPr>
                  </w:pPr>
                  <w:r w:rsidRPr="0009691C">
                    <w:rPr>
                      <w:rFonts w:ascii="Work Sans" w:hAnsi="Work Sans"/>
                    </w:rPr>
                    <w:t>Void inspections and ordering </w:t>
                  </w:r>
                </w:p>
                <w:p w14:paraId="0FAB4601" w14:textId="77777777" w:rsidR="00B659ED" w:rsidRPr="0009691C" w:rsidRDefault="00B659ED" w:rsidP="00B659ED">
                  <w:pPr>
                    <w:textAlignment w:val="baseline"/>
                    <w:rPr>
                      <w:rFonts w:ascii="Work Sans" w:hAnsi="Work Sans"/>
                    </w:rPr>
                  </w:pPr>
                  <w:r w:rsidRPr="0009691C">
                    <w:rPr>
                      <w:rFonts w:ascii="Work Sans" w:hAnsi="Work Sans"/>
                    </w:rPr>
                    <w:t>Asset Management work </w:t>
                  </w:r>
                </w:p>
                <w:p w14:paraId="38A93C4D" w14:textId="77777777" w:rsidR="00B659ED" w:rsidRPr="0009691C" w:rsidRDefault="00B659ED" w:rsidP="00B659ED">
                  <w:pPr>
                    <w:textAlignment w:val="baseline"/>
                    <w:rPr>
                      <w:rFonts w:ascii="Work Sans" w:hAnsi="Work Sans"/>
                    </w:rPr>
                  </w:pPr>
                  <w:r w:rsidRPr="0009691C">
                    <w:rPr>
                      <w:rFonts w:ascii="Work Sans" w:hAnsi="Work Sans"/>
                    </w:rPr>
                    <w:t>Stock condition surveys </w:t>
                  </w:r>
                </w:p>
                <w:p w14:paraId="4F7B28B1" w14:textId="77777777" w:rsidR="00B659ED" w:rsidRPr="0009691C" w:rsidRDefault="00B659ED" w:rsidP="00B659ED">
                  <w:pPr>
                    <w:textAlignment w:val="baseline"/>
                    <w:rPr>
                      <w:rFonts w:ascii="Work Sans" w:hAnsi="Work Sans"/>
                    </w:rPr>
                  </w:pPr>
                  <w:r w:rsidRPr="0009691C">
                    <w:rPr>
                      <w:rFonts w:ascii="Work Sans" w:hAnsi="Work Sans"/>
                    </w:rPr>
                    <w:t>Planned works </w:t>
                  </w:r>
                </w:p>
                <w:p w14:paraId="42D4FC85" w14:textId="77777777" w:rsidR="00B659ED" w:rsidRPr="0009691C" w:rsidRDefault="00B659ED" w:rsidP="00B659ED">
                  <w:pPr>
                    <w:textAlignment w:val="baseline"/>
                    <w:rPr>
                      <w:rFonts w:ascii="Work Sans" w:hAnsi="Work Sans"/>
                    </w:rPr>
                  </w:pPr>
                  <w:r w:rsidRPr="0009691C">
                    <w:rPr>
                      <w:rFonts w:ascii="Work Sans" w:hAnsi="Work Sans"/>
                    </w:rPr>
                    <w:t>Fire Risk Assessments </w:t>
                  </w:r>
                </w:p>
              </w:tc>
            </w:tr>
          </w:tbl>
          <w:p w14:paraId="100DE767" w14:textId="77777777" w:rsidR="00B659ED" w:rsidRPr="0009691C" w:rsidRDefault="00B659ED" w:rsidP="00B659ED">
            <w:pPr>
              <w:rPr>
                <w:rFonts w:ascii="Work Sans" w:hAnsi="Work Sans"/>
              </w:rPr>
            </w:pPr>
          </w:p>
          <w:p w14:paraId="00731B89" w14:textId="77777777" w:rsidR="00B659ED" w:rsidRPr="0009691C" w:rsidRDefault="00B659ED" w:rsidP="00407A8F">
            <w:pPr>
              <w:pStyle w:val="ListParagraph"/>
              <w:spacing w:before="60" w:after="120"/>
              <w:ind w:left="794"/>
              <w:contextualSpacing w:val="0"/>
              <w:jc w:val="both"/>
              <w:rPr>
                <w:rFonts w:ascii="Work Sans" w:hAnsi="Work Sans"/>
                <w:b/>
                <w:bCs/>
              </w:rPr>
            </w:pPr>
            <w:r w:rsidRPr="0009691C">
              <w:rPr>
                <w:rFonts w:ascii="Work Sans" w:hAnsi="Work Sans"/>
                <w:b/>
                <w:bCs/>
              </w:rPr>
              <w:t>Property Services</w:t>
            </w:r>
          </w:p>
          <w:p w14:paraId="5AF40453" w14:textId="5E0CD18C" w:rsidR="00B659ED" w:rsidRPr="0009691C" w:rsidRDefault="00B659ED"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 xml:space="preserve">Property Services and Maintenance receive the highest volume of complaints, see </w:t>
            </w:r>
            <w:r w:rsidRPr="00687456">
              <w:rPr>
                <w:rFonts w:ascii="Work Sans" w:hAnsi="Work Sans"/>
              </w:rPr>
              <w:t>5.</w:t>
            </w:r>
            <w:r w:rsidR="0060391B" w:rsidRPr="00687456">
              <w:rPr>
                <w:rFonts w:ascii="Work Sans" w:hAnsi="Work Sans"/>
              </w:rPr>
              <w:t>6</w:t>
            </w:r>
            <w:r w:rsidR="00687456" w:rsidRPr="00687456">
              <w:rPr>
                <w:rFonts w:ascii="Work Sans" w:hAnsi="Work Sans"/>
              </w:rPr>
              <w:t>7</w:t>
            </w:r>
            <w:r w:rsidRPr="00687456">
              <w:rPr>
                <w:rFonts w:ascii="Work Sans" w:hAnsi="Work Sans"/>
              </w:rPr>
              <w:t xml:space="preserve"> complaints</w:t>
            </w:r>
            <w:r w:rsidRPr="0009691C">
              <w:rPr>
                <w:rFonts w:ascii="Work Sans" w:hAnsi="Work Sans"/>
              </w:rPr>
              <w:t xml:space="preserve"> by service area.  It is an area where most customers receive a service from SYHA and matches previous years</w:t>
            </w:r>
            <w:r w:rsidR="00B847D5" w:rsidRPr="0009691C">
              <w:rPr>
                <w:rFonts w:ascii="Work Sans" w:hAnsi="Work Sans"/>
              </w:rPr>
              <w:t>’</w:t>
            </w:r>
            <w:r w:rsidRPr="0009691C">
              <w:rPr>
                <w:rFonts w:ascii="Work Sans" w:hAnsi="Work Sans"/>
              </w:rPr>
              <w:t xml:space="preserve"> data.  In 202</w:t>
            </w:r>
            <w:r w:rsidR="0060391B" w:rsidRPr="0009691C">
              <w:rPr>
                <w:rFonts w:ascii="Work Sans" w:hAnsi="Work Sans"/>
              </w:rPr>
              <w:t>5</w:t>
            </w:r>
            <w:r w:rsidRPr="0009691C">
              <w:rPr>
                <w:rFonts w:ascii="Work Sans" w:hAnsi="Work Sans"/>
              </w:rPr>
              <w:t>/2</w:t>
            </w:r>
            <w:r w:rsidR="0060391B" w:rsidRPr="0009691C">
              <w:rPr>
                <w:rFonts w:ascii="Work Sans" w:hAnsi="Work Sans"/>
              </w:rPr>
              <w:t>6</w:t>
            </w:r>
            <w:r w:rsidRPr="0009691C">
              <w:rPr>
                <w:rFonts w:ascii="Work Sans" w:hAnsi="Work Sans"/>
              </w:rPr>
              <w:t xml:space="preserve">, </w:t>
            </w:r>
            <w:r w:rsidR="00314160" w:rsidRPr="0009691C">
              <w:rPr>
                <w:rFonts w:ascii="Work Sans" w:hAnsi="Work Sans"/>
              </w:rPr>
              <w:t>84</w:t>
            </w:r>
            <w:r w:rsidRPr="0009691C">
              <w:rPr>
                <w:rFonts w:ascii="Work Sans" w:hAnsi="Work Sans"/>
              </w:rPr>
              <w:t xml:space="preserve">% of all complaints received were in this business area, in </w:t>
            </w:r>
            <w:r w:rsidR="00314160" w:rsidRPr="0009691C">
              <w:rPr>
                <w:rFonts w:ascii="Work Sans" w:hAnsi="Work Sans"/>
              </w:rPr>
              <w:t>2024/25</w:t>
            </w:r>
            <w:r w:rsidRPr="0009691C">
              <w:rPr>
                <w:rFonts w:ascii="Work Sans" w:hAnsi="Work Sans"/>
              </w:rPr>
              <w:t xml:space="preserve"> the figure was 7</w:t>
            </w:r>
            <w:r w:rsidR="00314160" w:rsidRPr="0009691C">
              <w:rPr>
                <w:rFonts w:ascii="Work Sans" w:hAnsi="Work Sans"/>
              </w:rPr>
              <w:t>8</w:t>
            </w:r>
            <w:r w:rsidRPr="0009691C">
              <w:rPr>
                <w:rFonts w:ascii="Work Sans" w:hAnsi="Work Sans"/>
              </w:rPr>
              <w:t>%.</w:t>
            </w:r>
          </w:p>
          <w:p w14:paraId="7AB0257E" w14:textId="43195878" w:rsidR="006A43DB" w:rsidRPr="0009691C" w:rsidRDefault="00B659ED"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 xml:space="preserve">Property Services and Maintenance have seen a </w:t>
            </w:r>
            <w:r w:rsidR="00047053" w:rsidRPr="0009691C">
              <w:rPr>
                <w:rFonts w:ascii="Work Sans" w:hAnsi="Work Sans"/>
              </w:rPr>
              <w:t>5</w:t>
            </w:r>
            <w:r w:rsidR="0063475B" w:rsidRPr="0009691C">
              <w:rPr>
                <w:rFonts w:ascii="Work Sans" w:hAnsi="Work Sans"/>
              </w:rPr>
              <w:t>%</w:t>
            </w:r>
            <w:r w:rsidRPr="0009691C">
              <w:rPr>
                <w:rFonts w:ascii="Work Sans" w:hAnsi="Work Sans"/>
              </w:rPr>
              <w:t xml:space="preserve"> increase in complaints</w:t>
            </w:r>
            <w:r w:rsidR="00E57C4F" w:rsidRPr="0009691C">
              <w:rPr>
                <w:rFonts w:ascii="Work Sans" w:hAnsi="Work Sans"/>
              </w:rPr>
              <w:t xml:space="preserve"> at stage 1</w:t>
            </w:r>
            <w:r w:rsidRPr="0009691C">
              <w:rPr>
                <w:rFonts w:ascii="Work Sans" w:hAnsi="Work Sans"/>
              </w:rPr>
              <w:t>.</w:t>
            </w:r>
            <w:r w:rsidR="00A36B6B" w:rsidRPr="0009691C">
              <w:rPr>
                <w:rFonts w:ascii="Work Sans" w:hAnsi="Work Sans"/>
              </w:rPr>
              <w:t xml:space="preserve"> </w:t>
            </w:r>
            <w:r w:rsidR="009900E4" w:rsidRPr="0009691C">
              <w:rPr>
                <w:rFonts w:ascii="Work Sans" w:hAnsi="Work Sans"/>
              </w:rPr>
              <w:t>Some key themes coming through are around longer wait time</w:t>
            </w:r>
            <w:r w:rsidR="00A739F7">
              <w:rPr>
                <w:rFonts w:ascii="Work Sans" w:hAnsi="Work Sans"/>
              </w:rPr>
              <w:t>s</w:t>
            </w:r>
            <w:r w:rsidR="009900E4" w:rsidRPr="0009691C">
              <w:rPr>
                <w:rFonts w:ascii="Work Sans" w:hAnsi="Work Sans"/>
              </w:rPr>
              <w:t xml:space="preserve"> for repairs to be completed</w:t>
            </w:r>
            <w:r w:rsidR="00724B17" w:rsidRPr="0009691C">
              <w:rPr>
                <w:rFonts w:ascii="Work Sans" w:hAnsi="Work Sans"/>
              </w:rPr>
              <w:t xml:space="preserve">, </w:t>
            </w:r>
            <w:r w:rsidR="00831BF2" w:rsidRPr="0009691C">
              <w:rPr>
                <w:rFonts w:ascii="Work Sans" w:hAnsi="Work Sans"/>
              </w:rPr>
              <w:t>poor</w:t>
            </w:r>
            <w:r w:rsidR="00724B17" w:rsidRPr="0009691C">
              <w:rPr>
                <w:rFonts w:ascii="Work Sans" w:hAnsi="Work Sans"/>
              </w:rPr>
              <w:t xml:space="preserve"> communication</w:t>
            </w:r>
            <w:r w:rsidR="00831BF2" w:rsidRPr="0009691C">
              <w:rPr>
                <w:rFonts w:ascii="Work Sans" w:hAnsi="Work Sans"/>
              </w:rPr>
              <w:t xml:space="preserve"> around updates</w:t>
            </w:r>
            <w:r w:rsidR="00724B17" w:rsidRPr="0009691C">
              <w:rPr>
                <w:rFonts w:ascii="Work Sans" w:hAnsi="Work Sans"/>
              </w:rPr>
              <w:t xml:space="preserve"> and </w:t>
            </w:r>
            <w:r w:rsidR="00A739F7">
              <w:rPr>
                <w:rFonts w:ascii="Work Sans" w:hAnsi="Work Sans"/>
              </w:rPr>
              <w:t>the</w:t>
            </w:r>
            <w:r w:rsidR="00724B17" w:rsidRPr="0009691C">
              <w:rPr>
                <w:rFonts w:ascii="Work Sans" w:hAnsi="Work Sans"/>
              </w:rPr>
              <w:t xml:space="preserve"> customer having to chase for </w:t>
            </w:r>
            <w:r w:rsidR="00AE7A4F">
              <w:rPr>
                <w:rFonts w:ascii="Work Sans" w:hAnsi="Work Sans"/>
              </w:rPr>
              <w:t>information</w:t>
            </w:r>
            <w:r w:rsidR="00724B17" w:rsidRPr="0009691C">
              <w:rPr>
                <w:rFonts w:ascii="Work Sans" w:hAnsi="Work Sans"/>
              </w:rPr>
              <w:t>.</w:t>
            </w:r>
            <w:r w:rsidR="00A36B6B" w:rsidRPr="0009691C">
              <w:rPr>
                <w:rFonts w:ascii="Work Sans" w:hAnsi="Work Sans"/>
              </w:rPr>
              <w:t xml:space="preserve"> </w:t>
            </w:r>
          </w:p>
          <w:p w14:paraId="4FCAC9CA" w14:textId="277BC3DF" w:rsidR="005B504D" w:rsidRPr="00F66BDB" w:rsidRDefault="005B504D" w:rsidP="005B504D">
            <w:pPr>
              <w:pStyle w:val="ListParagraph"/>
              <w:numPr>
                <w:ilvl w:val="1"/>
                <w:numId w:val="1"/>
              </w:numPr>
              <w:spacing w:before="60" w:after="120"/>
              <w:ind w:left="794" w:hanging="794"/>
              <w:contextualSpacing w:val="0"/>
              <w:jc w:val="both"/>
              <w:rPr>
                <w:rFonts w:ascii="Work Sans" w:hAnsi="Work Sans"/>
              </w:rPr>
            </w:pPr>
            <w:r w:rsidRPr="00F66BDB">
              <w:rPr>
                <w:rFonts w:ascii="Work Sans" w:hAnsi="Work Sans"/>
                <w:lang w:val="en-US"/>
              </w:rPr>
              <w:t xml:space="preserve">This year, </w:t>
            </w:r>
            <w:r w:rsidR="00FE04F2" w:rsidRPr="00F66BDB">
              <w:rPr>
                <w:rFonts w:ascii="Work Sans" w:hAnsi="Work Sans"/>
                <w:lang w:val="en-US"/>
              </w:rPr>
              <w:t xml:space="preserve">there has been </w:t>
            </w:r>
            <w:r w:rsidR="004D0C2A" w:rsidRPr="00F66BDB">
              <w:rPr>
                <w:rFonts w:ascii="Work Sans" w:hAnsi="Work Sans"/>
                <w:lang w:val="en-US"/>
              </w:rPr>
              <w:t>a focus</w:t>
            </w:r>
            <w:r w:rsidRPr="00F66BDB">
              <w:rPr>
                <w:rFonts w:ascii="Work Sans" w:hAnsi="Work Sans"/>
                <w:lang w:val="en-US"/>
              </w:rPr>
              <w:t xml:space="preserve"> more on urgent issues like damp, </w:t>
            </w:r>
            <w:proofErr w:type="spellStart"/>
            <w:r w:rsidRPr="00F66BDB">
              <w:rPr>
                <w:rFonts w:ascii="Work Sans" w:hAnsi="Work Sans"/>
                <w:lang w:val="en-US"/>
              </w:rPr>
              <w:t>mould</w:t>
            </w:r>
            <w:proofErr w:type="spellEnd"/>
            <w:r w:rsidRPr="00F66BDB">
              <w:rPr>
                <w:rFonts w:ascii="Work Sans" w:hAnsi="Work Sans"/>
                <w:lang w:val="en-US"/>
              </w:rPr>
              <w:t xml:space="preserve"> and condensation. This has sometimes meant that more routine repairs have taken longer.</w:t>
            </w:r>
            <w:r w:rsidR="00FF09D8" w:rsidRPr="00F66BDB">
              <w:rPr>
                <w:rFonts w:ascii="Work Sans" w:hAnsi="Work Sans"/>
                <w:lang w:val="en-US"/>
              </w:rPr>
              <w:t xml:space="preserve"> </w:t>
            </w:r>
            <w:r w:rsidRPr="00F66BDB">
              <w:rPr>
                <w:rFonts w:ascii="Work Sans" w:hAnsi="Work Sans"/>
                <w:lang w:val="en-US"/>
              </w:rPr>
              <w:t xml:space="preserve">We have also seen problems such as leaking roofs being repaired reactively instead of through planned </w:t>
            </w:r>
            <w:proofErr w:type="spellStart"/>
            <w:r w:rsidRPr="00F66BDB">
              <w:rPr>
                <w:rFonts w:ascii="Work Sans" w:hAnsi="Work Sans"/>
                <w:lang w:val="en-US"/>
              </w:rPr>
              <w:t>programmes</w:t>
            </w:r>
            <w:proofErr w:type="spellEnd"/>
            <w:r w:rsidRPr="00F66BDB">
              <w:rPr>
                <w:rFonts w:ascii="Work Sans" w:hAnsi="Work Sans"/>
                <w:lang w:val="en-US"/>
              </w:rPr>
              <w:t>.</w:t>
            </w:r>
          </w:p>
          <w:p w14:paraId="412672F6" w14:textId="6F0F1D47" w:rsidR="00111546" w:rsidRPr="00057274" w:rsidRDefault="00FE04F2" w:rsidP="00057274">
            <w:pPr>
              <w:pStyle w:val="ListParagraph"/>
              <w:numPr>
                <w:ilvl w:val="1"/>
                <w:numId w:val="1"/>
              </w:numPr>
              <w:spacing w:before="60" w:after="120"/>
              <w:ind w:left="794" w:hanging="794"/>
              <w:contextualSpacing w:val="0"/>
              <w:jc w:val="both"/>
              <w:rPr>
                <w:rFonts w:ascii="Work Sans" w:hAnsi="Work Sans"/>
              </w:rPr>
            </w:pPr>
            <w:r w:rsidRPr="00057274">
              <w:rPr>
                <w:rFonts w:ascii="Work Sans" w:hAnsi="Work Sans"/>
                <w:lang w:val="en-US"/>
              </w:rPr>
              <w:t xml:space="preserve">To address this, </w:t>
            </w:r>
            <w:r w:rsidR="00F66BDB" w:rsidRPr="00057274">
              <w:rPr>
                <w:rFonts w:ascii="Work Sans" w:hAnsi="Work Sans"/>
                <w:lang w:val="en-US"/>
              </w:rPr>
              <w:t>Property Services</w:t>
            </w:r>
            <w:r w:rsidRPr="00057274">
              <w:rPr>
                <w:rFonts w:ascii="Work Sans" w:hAnsi="Work Sans"/>
                <w:lang w:val="en-US"/>
              </w:rPr>
              <w:t xml:space="preserve"> are increasing budgets and planning for improvement work in areas that need it, for example Auckley in Doncaster</w:t>
            </w:r>
            <w:r w:rsidR="00057274" w:rsidRPr="00057274">
              <w:rPr>
                <w:rFonts w:ascii="Work Sans" w:hAnsi="Work Sans"/>
                <w:lang w:val="en-US"/>
              </w:rPr>
              <w:t>.  We are</w:t>
            </w:r>
            <w:r w:rsidRPr="00057274">
              <w:rPr>
                <w:rFonts w:ascii="Work Sans" w:hAnsi="Work Sans"/>
                <w:lang w:val="en-US"/>
              </w:rPr>
              <w:t xml:space="preserve"> working closely with our contractors to improve communication and delivery. Our aim is to complete repairs faster, keep customers better informed, and reduce the need for customers to chase us.</w:t>
            </w:r>
          </w:p>
          <w:p w14:paraId="5E56CEC6" w14:textId="47B4E418" w:rsidR="00B659ED" w:rsidRPr="0009691C" w:rsidRDefault="00B659ED"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 xml:space="preserve">The total increase year-on-year for all business areas is </w:t>
            </w:r>
            <w:r w:rsidR="00D1002D">
              <w:rPr>
                <w:rFonts w:ascii="Work Sans" w:hAnsi="Work Sans"/>
              </w:rPr>
              <w:t>10</w:t>
            </w:r>
            <w:r w:rsidRPr="0009691C">
              <w:rPr>
                <w:rFonts w:ascii="Work Sans" w:hAnsi="Work Sans"/>
              </w:rPr>
              <w:t xml:space="preserve">%, see 5.5 Volume of complaint – by year.  There is no one factor unique to this area that explains the increase. As mentioned </w:t>
            </w:r>
            <w:r w:rsidRPr="003A2239">
              <w:rPr>
                <w:rFonts w:ascii="Work Sans" w:hAnsi="Work Sans"/>
              </w:rPr>
              <w:t>in 5.</w:t>
            </w:r>
            <w:r w:rsidR="003A2239" w:rsidRPr="003A2239">
              <w:rPr>
                <w:rFonts w:ascii="Work Sans" w:hAnsi="Work Sans"/>
              </w:rPr>
              <w:t>25</w:t>
            </w:r>
            <w:r w:rsidRPr="0009691C">
              <w:rPr>
                <w:rFonts w:ascii="Work Sans" w:hAnsi="Work Sans"/>
              </w:rPr>
              <w:t xml:space="preserve"> Raising Awareness, housing remains in the spotlight. Greater awareness of our </w:t>
            </w:r>
            <w:r w:rsidR="00364956" w:rsidRPr="0009691C">
              <w:rPr>
                <w:rFonts w:ascii="Work Sans" w:hAnsi="Work Sans"/>
              </w:rPr>
              <w:t>C</w:t>
            </w:r>
            <w:r w:rsidRPr="0009691C">
              <w:rPr>
                <w:rFonts w:ascii="Work Sans" w:hAnsi="Work Sans"/>
              </w:rPr>
              <w:t xml:space="preserve">omplaints </w:t>
            </w:r>
            <w:r w:rsidR="00364956" w:rsidRPr="0009691C">
              <w:rPr>
                <w:rFonts w:ascii="Work Sans" w:hAnsi="Work Sans"/>
              </w:rPr>
              <w:t>P</w:t>
            </w:r>
            <w:r w:rsidRPr="0009691C">
              <w:rPr>
                <w:rFonts w:ascii="Work Sans" w:hAnsi="Work Sans"/>
              </w:rPr>
              <w:t>olicy may be encouraging more customers to let us know when we get something wrong.</w:t>
            </w:r>
          </w:p>
          <w:p w14:paraId="43477971"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Contractors</w:t>
            </w:r>
          </w:p>
          <w:p w14:paraId="280AB307" w14:textId="77777777" w:rsidR="00B659ED" w:rsidRPr="0009691C" w:rsidRDefault="00B659ED"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 xml:space="preserve">As some of our contractors carry out more work than others for SYHA, it is important to look at the number of complaints per 100 orders raised. The graph below shows the comparison to the last three years. </w:t>
            </w:r>
          </w:p>
          <w:p w14:paraId="3D82D841" w14:textId="77777777" w:rsidR="00B659ED" w:rsidRPr="0009691C" w:rsidRDefault="00B659ED" w:rsidP="00B659ED">
            <w:pPr>
              <w:rPr>
                <w:rFonts w:ascii="Work Sans" w:hAnsi="Work Sans"/>
              </w:rPr>
            </w:pPr>
          </w:p>
          <w:p w14:paraId="5FAEFEBE" w14:textId="446F56AE" w:rsidR="00B659ED" w:rsidRPr="0009691C" w:rsidRDefault="00B659ED" w:rsidP="00B659ED">
            <w:pPr>
              <w:jc w:val="center"/>
            </w:pPr>
          </w:p>
          <w:p w14:paraId="576FA3A7" w14:textId="52395F25" w:rsidR="00B659ED" w:rsidRPr="0009691C" w:rsidRDefault="00C94596" w:rsidP="00B659ED">
            <w:pPr>
              <w:rPr>
                <w:rFonts w:ascii="Work Sans" w:hAnsi="Work Sans"/>
              </w:rPr>
            </w:pPr>
            <w:r w:rsidRPr="0009691C">
              <w:rPr>
                <w:noProof/>
              </w:rPr>
              <w:drawing>
                <wp:inline distT="0" distB="0" distL="0" distR="0" wp14:anchorId="7E03DDC9" wp14:editId="756075EE">
                  <wp:extent cx="6344285" cy="3972560"/>
                  <wp:effectExtent l="0" t="0" r="18415" b="8890"/>
                  <wp:docPr id="2118486532" name="Chart 1">
                    <a:extLst xmlns:a="http://schemas.openxmlformats.org/drawingml/2006/main">
                      <a:ext uri="{FF2B5EF4-FFF2-40B4-BE49-F238E27FC236}">
                        <a16:creationId xmlns:a16="http://schemas.microsoft.com/office/drawing/2014/main" id="{D9CAD09F-AC26-050A-D6EB-523DCD00CAE4}"/>
                      </a:ext>
                      <a:ext uri="{147F2762-F138-4A5C-976F-8EAC2B608ADB}">
                        <a16:predDERef xmlns:a16="http://schemas.microsoft.com/office/drawing/2014/main" pred="{6E0D88B6-3EE3-E941-78CF-87E9A1F53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E61555"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b/>
                <w:bCs/>
              </w:rPr>
              <w:t>Root Causes</w:t>
            </w:r>
          </w:p>
          <w:p w14:paraId="45CD4BA6" w14:textId="77777777"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Complaints are categorised by a root cause which helps analysis and learning.  As some complaints have multiple elements the root cause for the main issue is selected. </w:t>
            </w:r>
          </w:p>
          <w:p w14:paraId="6FDBFD30" w14:textId="648362A4" w:rsidR="00B659ED" w:rsidRPr="0009691C" w:rsidRDefault="003760BC" w:rsidP="00B659ED">
            <w:pPr>
              <w:jc w:val="center"/>
              <w:rPr>
                <w:rFonts w:ascii="Work Sans" w:hAnsi="Work Sans"/>
              </w:rPr>
            </w:pPr>
            <w:r w:rsidRPr="0009691C">
              <w:rPr>
                <w:noProof/>
              </w:rPr>
              <w:drawing>
                <wp:inline distT="0" distB="0" distL="0" distR="0" wp14:anchorId="1F6C1030" wp14:editId="07A759B1">
                  <wp:extent cx="6311900" cy="4752000"/>
                  <wp:effectExtent l="0" t="0" r="12700" b="10795"/>
                  <wp:docPr id="1241550601" name="Chart 1">
                    <a:extLst xmlns:a="http://schemas.openxmlformats.org/drawingml/2006/main">
                      <a:ext uri="{FF2B5EF4-FFF2-40B4-BE49-F238E27FC236}">
                        <a16:creationId xmlns:a16="http://schemas.microsoft.com/office/drawing/2014/main" id="{CB2DD54A-005D-4F46-B603-216F4FA535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8D0B21" w14:textId="5CF35485" w:rsidR="00B659ED"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In 20</w:t>
            </w:r>
            <w:r w:rsidR="003760BC" w:rsidRPr="0009691C">
              <w:rPr>
                <w:rFonts w:ascii="Work Sans" w:hAnsi="Work Sans"/>
              </w:rPr>
              <w:t>25</w:t>
            </w:r>
            <w:r w:rsidRPr="0009691C">
              <w:rPr>
                <w:rFonts w:ascii="Work Sans" w:hAnsi="Work Sans"/>
              </w:rPr>
              <w:t>/2</w:t>
            </w:r>
            <w:r w:rsidR="003760BC" w:rsidRPr="0009691C">
              <w:rPr>
                <w:rFonts w:ascii="Work Sans" w:hAnsi="Work Sans"/>
              </w:rPr>
              <w:t>6</w:t>
            </w:r>
            <w:r w:rsidRPr="0009691C">
              <w:rPr>
                <w:rFonts w:ascii="Work Sans" w:hAnsi="Work Sans"/>
              </w:rPr>
              <w:t xml:space="preserve"> the top three root causes are:</w:t>
            </w:r>
          </w:p>
          <w:p w14:paraId="27B5EC46" w14:textId="25656E84" w:rsidR="00B659ED" w:rsidRPr="0009691C" w:rsidRDefault="00B659ED" w:rsidP="00B94B6D">
            <w:pPr>
              <w:pStyle w:val="ListParagraph"/>
              <w:numPr>
                <w:ilvl w:val="1"/>
                <w:numId w:val="10"/>
              </w:numPr>
              <w:ind w:left="1151" w:hanging="357"/>
              <w:contextualSpacing w:val="0"/>
              <w:jc w:val="both"/>
              <w:rPr>
                <w:rFonts w:ascii="Work Sans" w:hAnsi="Work Sans"/>
              </w:rPr>
            </w:pPr>
            <w:r w:rsidRPr="0009691C">
              <w:rPr>
                <w:rFonts w:ascii="Work Sans" w:hAnsi="Work Sans"/>
              </w:rPr>
              <w:t xml:space="preserve">Responsiveness, </w:t>
            </w:r>
            <w:r w:rsidR="00DC367E" w:rsidRPr="0009691C">
              <w:rPr>
                <w:rFonts w:ascii="Work Sans" w:hAnsi="Work Sans"/>
              </w:rPr>
              <w:t>103</w:t>
            </w:r>
            <w:r w:rsidRPr="0009691C">
              <w:rPr>
                <w:rFonts w:ascii="Work Sans" w:hAnsi="Work Sans"/>
              </w:rPr>
              <w:t xml:space="preserve"> complaints, </w:t>
            </w:r>
            <w:r w:rsidR="003628D9" w:rsidRPr="0009691C">
              <w:rPr>
                <w:rFonts w:ascii="Work Sans" w:hAnsi="Work Sans"/>
              </w:rPr>
              <w:t>33</w:t>
            </w:r>
            <w:r w:rsidRPr="0009691C">
              <w:rPr>
                <w:rFonts w:ascii="Work Sans" w:hAnsi="Work Sans"/>
              </w:rPr>
              <w:t>%</w:t>
            </w:r>
          </w:p>
          <w:p w14:paraId="23FA1AA4" w14:textId="1A55AB81" w:rsidR="00DC367E" w:rsidRPr="0009691C" w:rsidRDefault="00DC367E" w:rsidP="00DC367E">
            <w:pPr>
              <w:pStyle w:val="ListParagraph"/>
              <w:numPr>
                <w:ilvl w:val="1"/>
                <w:numId w:val="10"/>
              </w:numPr>
              <w:ind w:left="1151" w:hanging="357"/>
              <w:contextualSpacing w:val="0"/>
              <w:jc w:val="both"/>
              <w:rPr>
                <w:rFonts w:ascii="Work Sans" w:hAnsi="Work Sans"/>
              </w:rPr>
            </w:pPr>
            <w:r w:rsidRPr="0009691C">
              <w:rPr>
                <w:rFonts w:ascii="Work Sans" w:hAnsi="Work Sans"/>
              </w:rPr>
              <w:t xml:space="preserve">Customer Care &amp; Customer Service, </w:t>
            </w:r>
            <w:r w:rsidR="007551D3" w:rsidRPr="0009691C">
              <w:rPr>
                <w:rFonts w:ascii="Work Sans" w:hAnsi="Work Sans"/>
              </w:rPr>
              <w:t>97</w:t>
            </w:r>
            <w:r w:rsidRPr="0009691C">
              <w:rPr>
                <w:rFonts w:ascii="Work Sans" w:hAnsi="Work Sans"/>
              </w:rPr>
              <w:t xml:space="preserve"> complaints, 3</w:t>
            </w:r>
            <w:r w:rsidR="003628D9" w:rsidRPr="0009691C">
              <w:rPr>
                <w:rFonts w:ascii="Work Sans" w:hAnsi="Work Sans"/>
              </w:rPr>
              <w:t>1</w:t>
            </w:r>
            <w:r w:rsidRPr="0009691C">
              <w:rPr>
                <w:rFonts w:ascii="Work Sans" w:hAnsi="Work Sans"/>
              </w:rPr>
              <w:t>%</w:t>
            </w:r>
          </w:p>
          <w:p w14:paraId="093606FC" w14:textId="4DD29106" w:rsidR="00B659ED" w:rsidRPr="0009691C" w:rsidRDefault="00B659ED" w:rsidP="00B94B6D">
            <w:pPr>
              <w:pStyle w:val="ListParagraph"/>
              <w:numPr>
                <w:ilvl w:val="1"/>
                <w:numId w:val="10"/>
              </w:numPr>
              <w:ind w:left="1151" w:hanging="357"/>
              <w:contextualSpacing w:val="0"/>
              <w:jc w:val="both"/>
              <w:rPr>
                <w:rFonts w:ascii="Work Sans" w:hAnsi="Work Sans"/>
              </w:rPr>
            </w:pPr>
            <w:r w:rsidRPr="0009691C">
              <w:rPr>
                <w:rFonts w:ascii="Work Sans" w:hAnsi="Work Sans"/>
              </w:rPr>
              <w:t xml:space="preserve">Quality of Housing, </w:t>
            </w:r>
            <w:r w:rsidR="007551D3" w:rsidRPr="0009691C">
              <w:rPr>
                <w:rFonts w:ascii="Work Sans" w:hAnsi="Work Sans"/>
              </w:rPr>
              <w:t>66</w:t>
            </w:r>
            <w:r w:rsidRPr="0009691C">
              <w:rPr>
                <w:rFonts w:ascii="Work Sans" w:hAnsi="Work Sans"/>
              </w:rPr>
              <w:t xml:space="preserve"> complaints 21%</w:t>
            </w:r>
          </w:p>
          <w:p w14:paraId="4429A567" w14:textId="77777777" w:rsidR="00A60A5E" w:rsidRPr="0009691C" w:rsidRDefault="00DC760A"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The</w:t>
            </w:r>
            <w:r w:rsidR="000509F7" w:rsidRPr="0009691C">
              <w:rPr>
                <w:rFonts w:ascii="Work Sans" w:hAnsi="Work Sans"/>
              </w:rPr>
              <w:t xml:space="preserve"> overall pattern</w:t>
            </w:r>
            <w:r w:rsidR="00D24AAB" w:rsidRPr="0009691C">
              <w:rPr>
                <w:rFonts w:ascii="Work Sans" w:hAnsi="Work Sans"/>
              </w:rPr>
              <w:t xml:space="preserve"> of complaint</w:t>
            </w:r>
            <w:r w:rsidRPr="0009691C">
              <w:rPr>
                <w:rFonts w:ascii="Work Sans" w:hAnsi="Work Sans"/>
              </w:rPr>
              <w:t xml:space="preserve"> root cause </w:t>
            </w:r>
            <w:r w:rsidR="00D24AAB" w:rsidRPr="0009691C">
              <w:rPr>
                <w:rFonts w:ascii="Work Sans" w:hAnsi="Work Sans"/>
              </w:rPr>
              <w:t>remains consistent with 2024/25; however</w:t>
            </w:r>
            <w:r w:rsidR="00B659ED" w:rsidRPr="0009691C">
              <w:rPr>
                <w:rFonts w:ascii="Work Sans" w:hAnsi="Work Sans"/>
              </w:rPr>
              <w:t>,</w:t>
            </w:r>
            <w:r w:rsidR="00A60A5E" w:rsidRPr="0009691C">
              <w:rPr>
                <w:rFonts w:ascii="Work Sans" w:hAnsi="Work Sans"/>
              </w:rPr>
              <w:t xml:space="preserve"> complaints relating to </w:t>
            </w:r>
            <w:r w:rsidR="00E257FA" w:rsidRPr="0009691C">
              <w:rPr>
                <w:rFonts w:ascii="Work Sans" w:hAnsi="Work Sans"/>
              </w:rPr>
              <w:t>Responsiveness</w:t>
            </w:r>
            <w:r w:rsidR="00B659ED" w:rsidRPr="0009691C">
              <w:rPr>
                <w:rFonts w:ascii="Work Sans" w:hAnsi="Work Sans"/>
              </w:rPr>
              <w:t xml:space="preserve"> ha</w:t>
            </w:r>
            <w:r w:rsidR="00A60A5E" w:rsidRPr="0009691C">
              <w:rPr>
                <w:rFonts w:ascii="Work Sans" w:hAnsi="Work Sans"/>
              </w:rPr>
              <w:t>ve increased as a proportion of total complaints compared to last year.</w:t>
            </w:r>
            <w:r w:rsidR="00B659ED" w:rsidRPr="0009691C">
              <w:rPr>
                <w:rFonts w:ascii="Work Sans" w:hAnsi="Work Sans"/>
              </w:rPr>
              <w:t xml:space="preserve"> </w:t>
            </w:r>
          </w:p>
          <w:p w14:paraId="0FA6FF27" w14:textId="77777777" w:rsidR="00B92018" w:rsidRPr="0009691C" w:rsidRDefault="00B92018"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rPr>
              <w:t xml:space="preserve">Customers frequently reported lengthy repair times and a lack of proactive communication regarding repair progress, appointment scheduling, and key updates. As a result, customers often felt compelled to chase for information. This absence of clear and timely communication directly contributed to frustration and repeat dissatisfaction. Although the specific issues raised varied, the underlying causes were consistent, with delays and communication breakdowns resulting in prolonged dissatisfaction. </w:t>
            </w:r>
          </w:p>
          <w:p w14:paraId="2B53B463" w14:textId="77777777" w:rsidR="00B659ED" w:rsidRDefault="00B659ED" w:rsidP="00B659ED">
            <w:pPr>
              <w:pStyle w:val="ListParagraph"/>
              <w:spacing w:before="60" w:after="120"/>
              <w:ind w:left="794"/>
              <w:jc w:val="both"/>
              <w:rPr>
                <w:rFonts w:ascii="Work Sans" w:hAnsi="Work Sans"/>
                <w:b/>
                <w:bCs/>
              </w:rPr>
            </w:pPr>
            <w:r w:rsidRPr="0009691C">
              <w:rPr>
                <w:rFonts w:ascii="Work Sans" w:hAnsi="Work Sans"/>
                <w:b/>
                <w:bCs/>
              </w:rPr>
              <w:t xml:space="preserve">Diversity and Complaints </w:t>
            </w:r>
          </w:p>
          <w:p w14:paraId="11399450" w14:textId="77777777" w:rsidR="006330A9" w:rsidRPr="0009691C" w:rsidRDefault="006330A9" w:rsidP="00B659ED">
            <w:pPr>
              <w:pStyle w:val="ListParagraph"/>
              <w:spacing w:before="60" w:after="120"/>
              <w:ind w:left="794"/>
              <w:jc w:val="both"/>
              <w:rPr>
                <w:rFonts w:ascii="Work Sans" w:hAnsi="Work Sans"/>
              </w:rPr>
            </w:pPr>
          </w:p>
          <w:p w14:paraId="1D6B7758" w14:textId="6E93575E" w:rsidR="00032233" w:rsidRPr="0009691C" w:rsidRDefault="00B659ED"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cs="Arial"/>
              </w:rPr>
              <w:t xml:space="preserve">Our housing management system allows reporting of age, gender, race, faith and belief, sexual orientation and disability.  We use this data to compare the diversity characteristics of people who made a complaint in </w:t>
            </w:r>
            <w:r w:rsidR="008F6E96" w:rsidRPr="0009691C">
              <w:rPr>
                <w:rFonts w:ascii="Work Sans" w:hAnsi="Work Sans" w:cs="Arial"/>
              </w:rPr>
              <w:t>2025/26</w:t>
            </w:r>
            <w:r w:rsidRPr="0009691C">
              <w:rPr>
                <w:rFonts w:ascii="Work Sans" w:hAnsi="Work Sans" w:cs="Arial"/>
              </w:rPr>
              <w:t xml:space="preserve"> with all our current tenancy holders. </w:t>
            </w:r>
          </w:p>
          <w:p w14:paraId="453C051E" w14:textId="25ACEE20" w:rsidR="00B659ED" w:rsidRPr="0009691C" w:rsidRDefault="00032233" w:rsidP="0019179A">
            <w:pPr>
              <w:pStyle w:val="ListParagraph"/>
              <w:numPr>
                <w:ilvl w:val="1"/>
                <w:numId w:val="1"/>
              </w:numPr>
              <w:spacing w:before="60" w:after="120"/>
              <w:ind w:left="794" w:hanging="794"/>
              <w:contextualSpacing w:val="0"/>
              <w:jc w:val="both"/>
              <w:rPr>
                <w:rFonts w:ascii="Work Sans" w:hAnsi="Work Sans"/>
              </w:rPr>
            </w:pPr>
            <w:r w:rsidRPr="0009691C">
              <w:rPr>
                <w:rFonts w:ascii="Work Sans" w:hAnsi="Work Sans" w:cs="Arial"/>
              </w:rPr>
              <w:t>There are data set gaps</w:t>
            </w:r>
            <w:r w:rsidR="00F817C5" w:rsidRPr="0009691C">
              <w:rPr>
                <w:rFonts w:ascii="Work Sans" w:hAnsi="Work Sans" w:cs="Arial"/>
              </w:rPr>
              <w:t xml:space="preserve">, for example a </w:t>
            </w:r>
            <w:r w:rsidR="005C7E6E" w:rsidRPr="0009691C">
              <w:rPr>
                <w:rFonts w:ascii="Work Sans" w:hAnsi="Work Sans" w:cs="Arial"/>
              </w:rPr>
              <w:t>large percentage of ‘unknown’ customer disabilities. This makes it harder to meaningful</w:t>
            </w:r>
            <w:r w:rsidR="000E4758" w:rsidRPr="0009691C">
              <w:rPr>
                <w:rFonts w:ascii="Work Sans" w:hAnsi="Work Sans" w:cs="Arial"/>
              </w:rPr>
              <w:t xml:space="preserve">ly </w:t>
            </w:r>
            <w:r w:rsidR="005C7E6E" w:rsidRPr="0009691C">
              <w:rPr>
                <w:rFonts w:ascii="Work Sans" w:hAnsi="Work Sans" w:cs="Arial"/>
              </w:rPr>
              <w:t>analys</w:t>
            </w:r>
            <w:r w:rsidR="000E4758" w:rsidRPr="0009691C">
              <w:rPr>
                <w:rFonts w:ascii="Work Sans" w:hAnsi="Work Sans" w:cs="Arial"/>
              </w:rPr>
              <w:t>e t</w:t>
            </w:r>
            <w:r w:rsidR="005C7E6E" w:rsidRPr="0009691C">
              <w:rPr>
                <w:rFonts w:ascii="Work Sans" w:hAnsi="Work Sans" w:cs="Arial"/>
              </w:rPr>
              <w:t>his data. To improve this, we launch</w:t>
            </w:r>
            <w:r w:rsidR="0063768B">
              <w:rPr>
                <w:rFonts w:ascii="Work Sans" w:hAnsi="Work Sans" w:cs="Arial"/>
              </w:rPr>
              <w:t>ed</w:t>
            </w:r>
            <w:r w:rsidR="005C7E6E" w:rsidRPr="0009691C">
              <w:rPr>
                <w:rFonts w:ascii="Work Sans" w:hAnsi="Work Sans" w:cs="Arial"/>
              </w:rPr>
              <w:t xml:space="preserve"> a data collection campaign in </w:t>
            </w:r>
            <w:r w:rsidRPr="0009691C">
              <w:rPr>
                <w:rFonts w:ascii="Work Sans" w:hAnsi="Work Sans" w:cs="Arial"/>
              </w:rPr>
              <w:t xml:space="preserve">2025 that </w:t>
            </w:r>
            <w:r w:rsidR="0063768B">
              <w:rPr>
                <w:rFonts w:ascii="Work Sans" w:hAnsi="Work Sans" w:cs="Arial"/>
              </w:rPr>
              <w:t xml:space="preserve">piloted contacting tenants to </w:t>
            </w:r>
            <w:r w:rsidR="001E34AB">
              <w:rPr>
                <w:rFonts w:ascii="Work Sans" w:hAnsi="Work Sans" w:cs="Arial"/>
              </w:rPr>
              <w:t xml:space="preserve">check accuracy of their information. This continues to be rolled out across 2026, and we </w:t>
            </w:r>
            <w:r w:rsidRPr="0009691C">
              <w:rPr>
                <w:rFonts w:ascii="Work Sans" w:hAnsi="Work Sans" w:cs="Arial"/>
              </w:rPr>
              <w:t xml:space="preserve">hope this will significantly improve our diversity data. </w:t>
            </w:r>
          </w:p>
          <w:p w14:paraId="2A9D30DB" w14:textId="77777777" w:rsidR="00B659ED" w:rsidRPr="0009691C" w:rsidRDefault="00B659ED" w:rsidP="00B659ED">
            <w:pPr>
              <w:pStyle w:val="ListParagraph"/>
              <w:spacing w:before="60" w:after="120"/>
              <w:ind w:left="794"/>
              <w:contextualSpacing w:val="0"/>
              <w:jc w:val="both"/>
              <w:rPr>
                <w:rFonts w:ascii="Work Sans" w:hAnsi="Work Sans"/>
                <w:b/>
                <w:bCs/>
              </w:rPr>
            </w:pPr>
            <w:r w:rsidRPr="0009691C">
              <w:rPr>
                <w:rFonts w:ascii="Work Sans" w:hAnsi="Work Sans" w:cs="Arial"/>
                <w:b/>
                <w:bCs/>
              </w:rPr>
              <w:t>Race and ethnicity</w:t>
            </w:r>
          </w:p>
          <w:p w14:paraId="1328E699" w14:textId="531EC77E" w:rsidR="001B119F" w:rsidRPr="005A4D4B" w:rsidRDefault="001B119F" w:rsidP="00EC7369">
            <w:pPr>
              <w:pStyle w:val="ListParagraph"/>
              <w:numPr>
                <w:ilvl w:val="1"/>
                <w:numId w:val="1"/>
              </w:numPr>
              <w:spacing w:before="60" w:after="120"/>
              <w:ind w:left="794" w:hanging="794"/>
              <w:jc w:val="both"/>
              <w:rPr>
                <w:rFonts w:ascii="Work Sans" w:hAnsi="Work Sans"/>
              </w:rPr>
            </w:pPr>
            <w:r w:rsidRPr="005A4D4B">
              <w:rPr>
                <w:rFonts w:ascii="Work Sans" w:hAnsi="Work Sans" w:cs="Arial"/>
              </w:rPr>
              <w:t>The table below shows data on race and ethnicity.  The complainant profile for 202</w:t>
            </w:r>
            <w:r w:rsidR="00966AB8" w:rsidRPr="005A4D4B">
              <w:rPr>
                <w:rFonts w:ascii="Work Sans" w:hAnsi="Work Sans" w:cs="Arial"/>
              </w:rPr>
              <w:t>5</w:t>
            </w:r>
            <w:r w:rsidRPr="005A4D4B">
              <w:rPr>
                <w:rFonts w:ascii="Work Sans" w:hAnsi="Work Sans" w:cs="Arial"/>
              </w:rPr>
              <w:t>/2</w:t>
            </w:r>
            <w:r w:rsidR="00966AB8" w:rsidRPr="005A4D4B">
              <w:rPr>
                <w:rFonts w:ascii="Work Sans" w:hAnsi="Work Sans" w:cs="Arial"/>
              </w:rPr>
              <w:t>6</w:t>
            </w:r>
            <w:r w:rsidRPr="005A4D4B">
              <w:rPr>
                <w:rFonts w:ascii="Work Sans" w:hAnsi="Work Sans" w:cs="Arial"/>
              </w:rPr>
              <w:t xml:space="preserve"> is </w:t>
            </w:r>
            <w:r w:rsidR="003E0147" w:rsidRPr="005A4D4B">
              <w:rPr>
                <w:rFonts w:ascii="Work Sans" w:hAnsi="Work Sans" w:cs="Arial"/>
              </w:rPr>
              <w:t>broadly</w:t>
            </w:r>
            <w:r w:rsidRPr="005A4D4B">
              <w:rPr>
                <w:rFonts w:ascii="Work Sans" w:hAnsi="Work Sans" w:cs="Arial"/>
              </w:rPr>
              <w:t xml:space="preserve"> aligned with the </w:t>
            </w:r>
            <w:r w:rsidR="008742E3" w:rsidRPr="005A4D4B">
              <w:rPr>
                <w:rFonts w:ascii="Work Sans" w:hAnsi="Work Sans" w:cs="Arial"/>
              </w:rPr>
              <w:t xml:space="preserve">overall customer profile. </w:t>
            </w:r>
            <w:r w:rsidRPr="005A4D4B">
              <w:rPr>
                <w:rFonts w:ascii="Work Sans" w:hAnsi="Work Sans" w:cs="Arial"/>
              </w:rPr>
              <w:t xml:space="preserve"> </w:t>
            </w:r>
            <w:r w:rsidR="004D3A46" w:rsidRPr="005A4D4B">
              <w:rPr>
                <w:rFonts w:ascii="Work Sans" w:hAnsi="Work Sans" w:cs="Arial"/>
              </w:rPr>
              <w:t xml:space="preserve">White British customers make up the largest proportion of our customers and, correspondingly, account for the highest proportion of complaints. </w:t>
            </w:r>
            <w:r w:rsidR="001E34AB" w:rsidRPr="005A4D4B">
              <w:rPr>
                <w:rFonts w:ascii="Work Sans" w:hAnsi="Work Sans" w:cs="Arial"/>
              </w:rPr>
              <w:t xml:space="preserve">However, </w:t>
            </w:r>
            <w:r w:rsidR="004D3A46" w:rsidRPr="005A4D4B">
              <w:rPr>
                <w:rFonts w:ascii="Work Sans" w:hAnsi="Work Sans" w:cs="Arial"/>
              </w:rPr>
              <w:t>Black African and Black Caribbean customers are over</w:t>
            </w:r>
            <w:r w:rsidR="004D3A46" w:rsidRPr="005A4D4B">
              <w:rPr>
                <w:rFonts w:ascii="Work Sans" w:hAnsi="Work Sans" w:cs="Arial"/>
              </w:rPr>
              <w:noBreakHyphen/>
              <w:t>represented in complaints relative to their share of the tenant population</w:t>
            </w:r>
            <w:r w:rsidR="002B0320" w:rsidRPr="005A4D4B">
              <w:rPr>
                <w:rFonts w:ascii="Work Sans" w:hAnsi="Work Sans" w:cs="Arial"/>
              </w:rPr>
              <w:t xml:space="preserve"> and we will explore this further in </w:t>
            </w:r>
            <w:r w:rsidR="005A4D4B" w:rsidRPr="005A4D4B">
              <w:rPr>
                <w:rFonts w:ascii="Work Sans" w:hAnsi="Work Sans" w:cs="Arial"/>
              </w:rPr>
              <w:t>2026/27.</w:t>
            </w:r>
            <w:r w:rsidR="004D3A46" w:rsidRPr="005A4D4B">
              <w:rPr>
                <w:rFonts w:ascii="Work Sans" w:hAnsi="Work Sans" w:cs="Arial"/>
              </w:rPr>
              <w:t xml:space="preserve"> While larger percentage variations are observed in some other ethnic categories, the low volume of complaints limits the significance of these differences</w:t>
            </w:r>
            <w:r w:rsidR="002B0320" w:rsidRPr="005A4D4B">
              <w:rPr>
                <w:rFonts w:ascii="Work Sans" w:hAnsi="Work Sans" w:cs="Arial"/>
              </w:rPr>
              <w:t xml:space="preserve">. </w:t>
            </w:r>
          </w:p>
          <w:tbl>
            <w:tblPr>
              <w:tblW w:w="9846" w:type="dxa"/>
              <w:tblLook w:val="04A0" w:firstRow="1" w:lastRow="0" w:firstColumn="1" w:lastColumn="0" w:noHBand="0" w:noVBand="1"/>
            </w:tblPr>
            <w:tblGrid>
              <w:gridCol w:w="3577"/>
              <w:gridCol w:w="1985"/>
              <w:gridCol w:w="2126"/>
              <w:gridCol w:w="2158"/>
            </w:tblGrid>
            <w:tr w:rsidR="002D16C8" w:rsidRPr="0009691C" w14:paraId="57D9ED19" w14:textId="77777777" w:rsidTr="009D5124">
              <w:trPr>
                <w:trHeight w:val="1048"/>
              </w:trPr>
              <w:tc>
                <w:tcPr>
                  <w:tcW w:w="3577"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50A4B481" w14:textId="77777777" w:rsidR="002D16C8" w:rsidRPr="0009691C" w:rsidRDefault="002D16C8" w:rsidP="002D16C8">
                  <w:pPr>
                    <w:jc w:val="center"/>
                    <w:rPr>
                      <w:rFonts w:ascii="Work Sans" w:hAnsi="Work Sans" w:cs="Arial"/>
                      <w:b/>
                      <w:bCs/>
                      <w:sz w:val="22"/>
                      <w:szCs w:val="22"/>
                    </w:rPr>
                  </w:pPr>
                  <w:r w:rsidRPr="0009691C">
                    <w:rPr>
                      <w:rFonts w:ascii="Work Sans" w:hAnsi="Work Sans" w:cs="Arial"/>
                      <w:b/>
                      <w:bCs/>
                      <w:sz w:val="22"/>
                      <w:szCs w:val="22"/>
                    </w:rPr>
                    <w:t>Race</w:t>
                  </w:r>
                </w:p>
              </w:tc>
              <w:tc>
                <w:tcPr>
                  <w:tcW w:w="1985" w:type="dxa"/>
                  <w:tcBorders>
                    <w:top w:val="single" w:sz="4" w:space="0" w:color="auto"/>
                    <w:left w:val="nil"/>
                    <w:bottom w:val="single" w:sz="4" w:space="0" w:color="auto"/>
                    <w:right w:val="single" w:sz="4" w:space="0" w:color="auto"/>
                  </w:tcBorders>
                  <w:shd w:val="clear" w:color="000000" w:fill="CCC0DA"/>
                  <w:vAlign w:val="center"/>
                  <w:hideMark/>
                </w:tcPr>
                <w:p w14:paraId="59ADA5E2" w14:textId="77777777" w:rsidR="002D16C8" w:rsidRPr="0009691C" w:rsidRDefault="002D16C8" w:rsidP="002D16C8">
                  <w:pPr>
                    <w:jc w:val="center"/>
                    <w:rPr>
                      <w:rFonts w:ascii="Work Sans" w:hAnsi="Work Sans" w:cs="Arial"/>
                      <w:b/>
                      <w:bCs/>
                      <w:sz w:val="22"/>
                      <w:szCs w:val="22"/>
                    </w:rPr>
                  </w:pPr>
                  <w:r w:rsidRPr="0009691C">
                    <w:rPr>
                      <w:rFonts w:ascii="Work Sans" w:hAnsi="Work Sans" w:cs="Arial"/>
                      <w:b/>
                      <w:bCs/>
                      <w:sz w:val="22"/>
                      <w:szCs w:val="22"/>
                    </w:rPr>
                    <w:t>Number of Customers who made a complaint</w:t>
                  </w:r>
                </w:p>
              </w:tc>
              <w:tc>
                <w:tcPr>
                  <w:tcW w:w="2126" w:type="dxa"/>
                  <w:tcBorders>
                    <w:top w:val="single" w:sz="4" w:space="0" w:color="auto"/>
                    <w:left w:val="nil"/>
                    <w:bottom w:val="single" w:sz="4" w:space="0" w:color="auto"/>
                    <w:right w:val="single" w:sz="4" w:space="0" w:color="auto"/>
                  </w:tcBorders>
                  <w:shd w:val="clear" w:color="000000" w:fill="CCC0DA"/>
                  <w:vAlign w:val="center"/>
                  <w:hideMark/>
                </w:tcPr>
                <w:p w14:paraId="75C1B3F4" w14:textId="77777777" w:rsidR="002D16C8" w:rsidRPr="0009691C" w:rsidRDefault="002D16C8" w:rsidP="002D16C8">
                  <w:pPr>
                    <w:jc w:val="center"/>
                    <w:rPr>
                      <w:rFonts w:ascii="Work Sans" w:hAnsi="Work Sans" w:cs="Arial"/>
                      <w:b/>
                      <w:bCs/>
                      <w:sz w:val="22"/>
                      <w:szCs w:val="22"/>
                    </w:rPr>
                  </w:pPr>
                  <w:r w:rsidRPr="0009691C">
                    <w:rPr>
                      <w:rFonts w:ascii="Work Sans" w:hAnsi="Work Sans" w:cs="Arial"/>
                      <w:b/>
                      <w:bCs/>
                      <w:sz w:val="22"/>
                      <w:szCs w:val="22"/>
                    </w:rPr>
                    <w:t>% of customers who made a complaint</w:t>
                  </w:r>
                </w:p>
              </w:tc>
              <w:tc>
                <w:tcPr>
                  <w:tcW w:w="2158" w:type="dxa"/>
                  <w:tcBorders>
                    <w:top w:val="single" w:sz="4" w:space="0" w:color="auto"/>
                    <w:left w:val="nil"/>
                    <w:bottom w:val="single" w:sz="4" w:space="0" w:color="auto"/>
                    <w:right w:val="single" w:sz="4" w:space="0" w:color="auto"/>
                  </w:tcBorders>
                  <w:shd w:val="clear" w:color="000000" w:fill="CCC0DA"/>
                  <w:noWrap/>
                  <w:vAlign w:val="center"/>
                  <w:hideMark/>
                </w:tcPr>
                <w:p w14:paraId="23218437" w14:textId="77777777" w:rsidR="002D16C8" w:rsidRPr="0009691C" w:rsidRDefault="002D16C8" w:rsidP="002D16C8">
                  <w:pPr>
                    <w:jc w:val="center"/>
                    <w:rPr>
                      <w:rFonts w:ascii="Work Sans" w:hAnsi="Work Sans" w:cs="Arial"/>
                      <w:b/>
                      <w:bCs/>
                      <w:sz w:val="22"/>
                      <w:szCs w:val="22"/>
                    </w:rPr>
                  </w:pPr>
                  <w:r w:rsidRPr="0009691C">
                    <w:rPr>
                      <w:rFonts w:ascii="Work Sans" w:hAnsi="Work Sans" w:cs="Arial"/>
                      <w:b/>
                      <w:bCs/>
                      <w:sz w:val="22"/>
                      <w:szCs w:val="22"/>
                    </w:rPr>
                    <w:t>% of all SYHA Tenants</w:t>
                  </w:r>
                </w:p>
              </w:tc>
            </w:tr>
            <w:tr w:rsidR="002D16C8" w:rsidRPr="0009691C" w14:paraId="39DBF6C7"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5E69BDFC"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Any other Ethnic group</w:t>
                  </w:r>
                </w:p>
              </w:tc>
              <w:tc>
                <w:tcPr>
                  <w:tcW w:w="1985" w:type="dxa"/>
                  <w:tcBorders>
                    <w:top w:val="nil"/>
                    <w:left w:val="nil"/>
                    <w:bottom w:val="single" w:sz="4" w:space="0" w:color="auto"/>
                    <w:right w:val="single" w:sz="4" w:space="0" w:color="auto"/>
                  </w:tcBorders>
                  <w:noWrap/>
                  <w:vAlign w:val="bottom"/>
                  <w:hideMark/>
                </w:tcPr>
                <w:p w14:paraId="19AA4796"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3</w:t>
                  </w:r>
                </w:p>
              </w:tc>
              <w:tc>
                <w:tcPr>
                  <w:tcW w:w="2126" w:type="dxa"/>
                  <w:tcBorders>
                    <w:top w:val="nil"/>
                    <w:left w:val="nil"/>
                    <w:bottom w:val="single" w:sz="4" w:space="0" w:color="auto"/>
                    <w:right w:val="single" w:sz="4" w:space="0" w:color="auto"/>
                  </w:tcBorders>
                  <w:noWrap/>
                  <w:vAlign w:val="bottom"/>
                  <w:hideMark/>
                </w:tcPr>
                <w:p w14:paraId="34891392"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0.93%</w:t>
                  </w:r>
                </w:p>
              </w:tc>
              <w:tc>
                <w:tcPr>
                  <w:tcW w:w="2158" w:type="dxa"/>
                  <w:tcBorders>
                    <w:top w:val="nil"/>
                    <w:left w:val="nil"/>
                    <w:bottom w:val="single" w:sz="4" w:space="0" w:color="auto"/>
                    <w:right w:val="single" w:sz="4" w:space="0" w:color="auto"/>
                  </w:tcBorders>
                  <w:noWrap/>
                  <w:vAlign w:val="bottom"/>
                  <w:hideMark/>
                </w:tcPr>
                <w:p w14:paraId="09C085D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0.38%</w:t>
                  </w:r>
                </w:p>
              </w:tc>
            </w:tr>
            <w:tr w:rsidR="002D16C8" w:rsidRPr="0009691C" w14:paraId="38BDED74"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4697106D" w14:textId="1BC20AFD" w:rsidR="002D16C8" w:rsidRPr="0009691C" w:rsidRDefault="002D16C8" w:rsidP="002D16C8">
                  <w:pPr>
                    <w:rPr>
                      <w:rFonts w:ascii="Work Sans" w:hAnsi="Work Sans" w:cs="Arial"/>
                      <w:sz w:val="22"/>
                      <w:szCs w:val="22"/>
                    </w:rPr>
                  </w:pPr>
                  <w:r w:rsidRPr="0009691C">
                    <w:rPr>
                      <w:rFonts w:ascii="Work Sans" w:hAnsi="Work Sans" w:cs="Arial"/>
                      <w:sz w:val="22"/>
                      <w:szCs w:val="22"/>
                    </w:rPr>
                    <w:t>Asian / Asian British: Chinese</w:t>
                  </w:r>
                </w:p>
              </w:tc>
              <w:tc>
                <w:tcPr>
                  <w:tcW w:w="1985" w:type="dxa"/>
                  <w:tcBorders>
                    <w:top w:val="nil"/>
                    <w:left w:val="nil"/>
                    <w:bottom w:val="single" w:sz="4" w:space="0" w:color="auto"/>
                    <w:right w:val="single" w:sz="4" w:space="0" w:color="auto"/>
                  </w:tcBorders>
                  <w:noWrap/>
                  <w:vAlign w:val="bottom"/>
                  <w:hideMark/>
                </w:tcPr>
                <w:p w14:paraId="2C5E0129"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2D5F5A63"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3E1B4F4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0.11%</w:t>
                  </w:r>
                </w:p>
              </w:tc>
            </w:tr>
            <w:tr w:rsidR="002D16C8" w:rsidRPr="0009691C" w14:paraId="32F78F37" w14:textId="77777777" w:rsidTr="003C09E4">
              <w:trPr>
                <w:trHeight w:val="680"/>
              </w:trPr>
              <w:tc>
                <w:tcPr>
                  <w:tcW w:w="3577" w:type="dxa"/>
                  <w:tcBorders>
                    <w:top w:val="nil"/>
                    <w:left w:val="single" w:sz="4" w:space="0" w:color="auto"/>
                    <w:bottom w:val="single" w:sz="4" w:space="0" w:color="auto"/>
                    <w:right w:val="single" w:sz="4" w:space="0" w:color="auto"/>
                  </w:tcBorders>
                  <w:vAlign w:val="bottom"/>
                  <w:hideMark/>
                </w:tcPr>
                <w:p w14:paraId="694B429F" w14:textId="16D26B41" w:rsidR="002D16C8" w:rsidRPr="0009691C" w:rsidRDefault="002D16C8" w:rsidP="002D16C8">
                  <w:pPr>
                    <w:rPr>
                      <w:rFonts w:ascii="Work Sans" w:hAnsi="Work Sans" w:cs="Arial"/>
                      <w:sz w:val="22"/>
                      <w:szCs w:val="22"/>
                    </w:rPr>
                  </w:pPr>
                  <w:r w:rsidRPr="0009691C">
                    <w:rPr>
                      <w:rFonts w:ascii="Work Sans" w:hAnsi="Work Sans" w:cs="Arial"/>
                      <w:sz w:val="22"/>
                      <w:szCs w:val="22"/>
                    </w:rPr>
                    <w:t>Asian/Asian British:  Any Other Asian Backgrou</w:t>
                  </w:r>
                  <w:r w:rsidR="001F6A8E" w:rsidRPr="0009691C">
                    <w:rPr>
                      <w:rFonts w:ascii="Work Sans" w:hAnsi="Work Sans" w:cs="Arial"/>
                      <w:sz w:val="22"/>
                      <w:szCs w:val="22"/>
                    </w:rPr>
                    <w:t>n</w:t>
                  </w:r>
                  <w:r w:rsidRPr="0009691C">
                    <w:rPr>
                      <w:rFonts w:ascii="Work Sans" w:hAnsi="Work Sans" w:cs="Arial"/>
                      <w:sz w:val="22"/>
                      <w:szCs w:val="22"/>
                    </w:rPr>
                    <w:t>d</w:t>
                  </w:r>
                </w:p>
              </w:tc>
              <w:tc>
                <w:tcPr>
                  <w:tcW w:w="1985" w:type="dxa"/>
                  <w:tcBorders>
                    <w:top w:val="nil"/>
                    <w:left w:val="nil"/>
                    <w:bottom w:val="single" w:sz="4" w:space="0" w:color="auto"/>
                    <w:right w:val="single" w:sz="4" w:space="0" w:color="auto"/>
                  </w:tcBorders>
                  <w:noWrap/>
                  <w:vAlign w:val="bottom"/>
                  <w:hideMark/>
                </w:tcPr>
                <w:p w14:paraId="0747B28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4</w:t>
                  </w:r>
                </w:p>
              </w:tc>
              <w:tc>
                <w:tcPr>
                  <w:tcW w:w="2126" w:type="dxa"/>
                  <w:tcBorders>
                    <w:top w:val="nil"/>
                    <w:left w:val="nil"/>
                    <w:bottom w:val="single" w:sz="4" w:space="0" w:color="auto"/>
                    <w:right w:val="single" w:sz="4" w:space="0" w:color="auto"/>
                  </w:tcBorders>
                  <w:noWrap/>
                  <w:vAlign w:val="bottom"/>
                  <w:hideMark/>
                </w:tcPr>
                <w:p w14:paraId="64993DB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1.25%</w:t>
                  </w:r>
                </w:p>
              </w:tc>
              <w:tc>
                <w:tcPr>
                  <w:tcW w:w="2158" w:type="dxa"/>
                  <w:tcBorders>
                    <w:top w:val="nil"/>
                    <w:left w:val="nil"/>
                    <w:bottom w:val="single" w:sz="4" w:space="0" w:color="auto"/>
                    <w:right w:val="single" w:sz="4" w:space="0" w:color="auto"/>
                  </w:tcBorders>
                  <w:noWrap/>
                  <w:vAlign w:val="bottom"/>
                  <w:hideMark/>
                </w:tcPr>
                <w:p w14:paraId="65E23AD3"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1.36%</w:t>
                  </w:r>
                </w:p>
              </w:tc>
            </w:tr>
            <w:tr w:rsidR="002D16C8" w:rsidRPr="0009691C" w14:paraId="470A2AC2" w14:textId="77777777" w:rsidTr="003C09E4">
              <w:trPr>
                <w:trHeight w:val="624"/>
              </w:trPr>
              <w:tc>
                <w:tcPr>
                  <w:tcW w:w="3577" w:type="dxa"/>
                  <w:tcBorders>
                    <w:top w:val="nil"/>
                    <w:left w:val="single" w:sz="4" w:space="0" w:color="auto"/>
                    <w:bottom w:val="single" w:sz="4" w:space="0" w:color="auto"/>
                    <w:right w:val="single" w:sz="4" w:space="0" w:color="auto"/>
                  </w:tcBorders>
                  <w:noWrap/>
                  <w:vAlign w:val="bottom"/>
                  <w:hideMark/>
                </w:tcPr>
                <w:p w14:paraId="5E3DED4C"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Asian/Asian British: Bangladeshi</w:t>
                  </w:r>
                </w:p>
              </w:tc>
              <w:tc>
                <w:tcPr>
                  <w:tcW w:w="1985" w:type="dxa"/>
                  <w:tcBorders>
                    <w:top w:val="nil"/>
                    <w:left w:val="nil"/>
                    <w:bottom w:val="single" w:sz="4" w:space="0" w:color="auto"/>
                    <w:right w:val="single" w:sz="4" w:space="0" w:color="auto"/>
                  </w:tcBorders>
                  <w:noWrap/>
                  <w:vAlign w:val="bottom"/>
                  <w:hideMark/>
                </w:tcPr>
                <w:p w14:paraId="08C55EE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2</w:t>
                  </w:r>
                </w:p>
              </w:tc>
              <w:tc>
                <w:tcPr>
                  <w:tcW w:w="2126" w:type="dxa"/>
                  <w:tcBorders>
                    <w:top w:val="nil"/>
                    <w:left w:val="nil"/>
                    <w:bottom w:val="single" w:sz="4" w:space="0" w:color="auto"/>
                    <w:right w:val="single" w:sz="4" w:space="0" w:color="auto"/>
                  </w:tcBorders>
                  <w:noWrap/>
                  <w:vAlign w:val="bottom"/>
                  <w:hideMark/>
                </w:tcPr>
                <w:p w14:paraId="16D71CD7"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0.62%</w:t>
                  </w:r>
                </w:p>
              </w:tc>
              <w:tc>
                <w:tcPr>
                  <w:tcW w:w="2158" w:type="dxa"/>
                  <w:tcBorders>
                    <w:top w:val="nil"/>
                    <w:left w:val="nil"/>
                    <w:bottom w:val="single" w:sz="4" w:space="0" w:color="auto"/>
                    <w:right w:val="single" w:sz="4" w:space="0" w:color="auto"/>
                  </w:tcBorders>
                  <w:noWrap/>
                  <w:vAlign w:val="bottom"/>
                  <w:hideMark/>
                </w:tcPr>
                <w:p w14:paraId="557A11D0"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0.68%</w:t>
                  </w:r>
                </w:p>
              </w:tc>
            </w:tr>
            <w:tr w:rsidR="002D16C8" w:rsidRPr="0009691C" w14:paraId="1D5A03CC" w14:textId="77777777" w:rsidTr="003C09E4">
              <w:trPr>
                <w:trHeight w:val="283"/>
              </w:trPr>
              <w:tc>
                <w:tcPr>
                  <w:tcW w:w="3577" w:type="dxa"/>
                  <w:tcBorders>
                    <w:top w:val="nil"/>
                    <w:left w:val="single" w:sz="4" w:space="0" w:color="auto"/>
                    <w:bottom w:val="single" w:sz="4" w:space="0" w:color="auto"/>
                    <w:right w:val="single" w:sz="4" w:space="0" w:color="auto"/>
                  </w:tcBorders>
                  <w:noWrap/>
                  <w:vAlign w:val="bottom"/>
                  <w:hideMark/>
                </w:tcPr>
                <w:p w14:paraId="6C173847"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Asian/Asian British: Indian</w:t>
                  </w:r>
                </w:p>
              </w:tc>
              <w:tc>
                <w:tcPr>
                  <w:tcW w:w="1985" w:type="dxa"/>
                  <w:tcBorders>
                    <w:top w:val="nil"/>
                    <w:left w:val="nil"/>
                    <w:bottom w:val="single" w:sz="4" w:space="0" w:color="auto"/>
                    <w:right w:val="single" w:sz="4" w:space="0" w:color="auto"/>
                  </w:tcBorders>
                  <w:noWrap/>
                  <w:vAlign w:val="bottom"/>
                  <w:hideMark/>
                </w:tcPr>
                <w:p w14:paraId="51D6F9E6"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3F3DBB01"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3E3BF605"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0.19%</w:t>
                  </w:r>
                </w:p>
              </w:tc>
            </w:tr>
            <w:tr w:rsidR="002D16C8" w:rsidRPr="0009691C" w14:paraId="686BF261" w14:textId="77777777" w:rsidTr="003C09E4">
              <w:trPr>
                <w:trHeight w:val="340"/>
              </w:trPr>
              <w:tc>
                <w:tcPr>
                  <w:tcW w:w="3577" w:type="dxa"/>
                  <w:tcBorders>
                    <w:top w:val="nil"/>
                    <w:left w:val="single" w:sz="4" w:space="0" w:color="auto"/>
                    <w:bottom w:val="single" w:sz="4" w:space="0" w:color="auto"/>
                    <w:right w:val="single" w:sz="4" w:space="0" w:color="auto"/>
                  </w:tcBorders>
                  <w:noWrap/>
                  <w:vAlign w:val="bottom"/>
                  <w:hideMark/>
                </w:tcPr>
                <w:p w14:paraId="215064C1"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Asian/Asian British: Pakistani</w:t>
                  </w:r>
                </w:p>
              </w:tc>
              <w:tc>
                <w:tcPr>
                  <w:tcW w:w="1985" w:type="dxa"/>
                  <w:tcBorders>
                    <w:top w:val="nil"/>
                    <w:left w:val="nil"/>
                    <w:bottom w:val="single" w:sz="4" w:space="0" w:color="auto"/>
                    <w:right w:val="single" w:sz="4" w:space="0" w:color="auto"/>
                  </w:tcBorders>
                  <w:noWrap/>
                  <w:vAlign w:val="bottom"/>
                  <w:hideMark/>
                </w:tcPr>
                <w:p w14:paraId="24360A12"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4</w:t>
                  </w:r>
                </w:p>
              </w:tc>
              <w:tc>
                <w:tcPr>
                  <w:tcW w:w="2126" w:type="dxa"/>
                  <w:tcBorders>
                    <w:top w:val="nil"/>
                    <w:left w:val="nil"/>
                    <w:bottom w:val="single" w:sz="4" w:space="0" w:color="auto"/>
                    <w:right w:val="single" w:sz="4" w:space="0" w:color="auto"/>
                  </w:tcBorders>
                  <w:noWrap/>
                  <w:vAlign w:val="bottom"/>
                  <w:hideMark/>
                </w:tcPr>
                <w:p w14:paraId="482D12B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1.25%</w:t>
                  </w:r>
                </w:p>
              </w:tc>
              <w:tc>
                <w:tcPr>
                  <w:tcW w:w="2158" w:type="dxa"/>
                  <w:tcBorders>
                    <w:top w:val="nil"/>
                    <w:left w:val="nil"/>
                    <w:bottom w:val="single" w:sz="4" w:space="0" w:color="auto"/>
                    <w:right w:val="single" w:sz="4" w:space="0" w:color="auto"/>
                  </w:tcBorders>
                  <w:noWrap/>
                  <w:vAlign w:val="bottom"/>
                  <w:hideMark/>
                </w:tcPr>
                <w:p w14:paraId="043460A3"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2.34%</w:t>
                  </w:r>
                </w:p>
              </w:tc>
            </w:tr>
            <w:tr w:rsidR="002D16C8" w:rsidRPr="0009691C" w14:paraId="3EDCA9BD" w14:textId="77777777" w:rsidTr="003C09E4">
              <w:trPr>
                <w:trHeight w:val="850"/>
              </w:trPr>
              <w:tc>
                <w:tcPr>
                  <w:tcW w:w="3577" w:type="dxa"/>
                  <w:tcBorders>
                    <w:top w:val="nil"/>
                    <w:left w:val="single" w:sz="4" w:space="0" w:color="auto"/>
                    <w:bottom w:val="single" w:sz="4" w:space="0" w:color="auto"/>
                    <w:right w:val="single" w:sz="4" w:space="0" w:color="auto"/>
                  </w:tcBorders>
                  <w:vAlign w:val="bottom"/>
                  <w:hideMark/>
                </w:tcPr>
                <w:p w14:paraId="103E50AD"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Black:  Any Other Black / African / Caribbean background</w:t>
                  </w:r>
                </w:p>
              </w:tc>
              <w:tc>
                <w:tcPr>
                  <w:tcW w:w="1985" w:type="dxa"/>
                  <w:tcBorders>
                    <w:top w:val="nil"/>
                    <w:left w:val="nil"/>
                    <w:bottom w:val="single" w:sz="4" w:space="0" w:color="auto"/>
                    <w:right w:val="single" w:sz="4" w:space="0" w:color="auto"/>
                  </w:tcBorders>
                  <w:noWrap/>
                  <w:vAlign w:val="bottom"/>
                  <w:hideMark/>
                </w:tcPr>
                <w:p w14:paraId="41A9C3B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2</w:t>
                  </w:r>
                </w:p>
              </w:tc>
              <w:tc>
                <w:tcPr>
                  <w:tcW w:w="2126" w:type="dxa"/>
                  <w:tcBorders>
                    <w:top w:val="nil"/>
                    <w:left w:val="nil"/>
                    <w:bottom w:val="single" w:sz="4" w:space="0" w:color="auto"/>
                    <w:right w:val="single" w:sz="4" w:space="0" w:color="auto"/>
                  </w:tcBorders>
                  <w:noWrap/>
                  <w:vAlign w:val="bottom"/>
                  <w:hideMark/>
                </w:tcPr>
                <w:p w14:paraId="28C6B055"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0.62%</w:t>
                  </w:r>
                </w:p>
              </w:tc>
              <w:tc>
                <w:tcPr>
                  <w:tcW w:w="2158" w:type="dxa"/>
                  <w:tcBorders>
                    <w:top w:val="nil"/>
                    <w:left w:val="nil"/>
                    <w:bottom w:val="single" w:sz="4" w:space="0" w:color="auto"/>
                    <w:right w:val="single" w:sz="4" w:space="0" w:color="auto"/>
                  </w:tcBorders>
                  <w:noWrap/>
                  <w:vAlign w:val="bottom"/>
                  <w:hideMark/>
                </w:tcPr>
                <w:p w14:paraId="696766B9"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0.63%</w:t>
                  </w:r>
                </w:p>
              </w:tc>
            </w:tr>
            <w:tr w:rsidR="002D16C8" w:rsidRPr="0009691C" w14:paraId="66602E42"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32688C08"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Black: African</w:t>
                  </w:r>
                </w:p>
              </w:tc>
              <w:tc>
                <w:tcPr>
                  <w:tcW w:w="1985" w:type="dxa"/>
                  <w:tcBorders>
                    <w:top w:val="nil"/>
                    <w:left w:val="nil"/>
                    <w:bottom w:val="single" w:sz="4" w:space="0" w:color="auto"/>
                    <w:right w:val="single" w:sz="4" w:space="0" w:color="auto"/>
                  </w:tcBorders>
                  <w:noWrap/>
                  <w:vAlign w:val="bottom"/>
                  <w:hideMark/>
                </w:tcPr>
                <w:p w14:paraId="6FD0D69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17</w:t>
                  </w:r>
                </w:p>
              </w:tc>
              <w:tc>
                <w:tcPr>
                  <w:tcW w:w="2126" w:type="dxa"/>
                  <w:tcBorders>
                    <w:top w:val="nil"/>
                    <w:left w:val="nil"/>
                    <w:bottom w:val="single" w:sz="4" w:space="0" w:color="auto"/>
                    <w:right w:val="single" w:sz="4" w:space="0" w:color="auto"/>
                  </w:tcBorders>
                  <w:noWrap/>
                  <w:vAlign w:val="bottom"/>
                  <w:hideMark/>
                </w:tcPr>
                <w:p w14:paraId="39C6185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5.30%</w:t>
                  </w:r>
                </w:p>
              </w:tc>
              <w:tc>
                <w:tcPr>
                  <w:tcW w:w="2158" w:type="dxa"/>
                  <w:tcBorders>
                    <w:top w:val="nil"/>
                    <w:left w:val="nil"/>
                    <w:bottom w:val="single" w:sz="4" w:space="0" w:color="auto"/>
                    <w:right w:val="single" w:sz="4" w:space="0" w:color="auto"/>
                  </w:tcBorders>
                  <w:noWrap/>
                  <w:vAlign w:val="bottom"/>
                  <w:hideMark/>
                </w:tcPr>
                <w:p w14:paraId="7FA1344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3.05%</w:t>
                  </w:r>
                </w:p>
              </w:tc>
            </w:tr>
            <w:tr w:rsidR="002D16C8" w:rsidRPr="0009691C" w14:paraId="15A5C036"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12DB947D"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Black: Caribbean</w:t>
                  </w:r>
                </w:p>
              </w:tc>
              <w:tc>
                <w:tcPr>
                  <w:tcW w:w="1985" w:type="dxa"/>
                  <w:tcBorders>
                    <w:top w:val="nil"/>
                    <w:left w:val="nil"/>
                    <w:bottom w:val="single" w:sz="4" w:space="0" w:color="auto"/>
                    <w:right w:val="single" w:sz="4" w:space="0" w:color="auto"/>
                  </w:tcBorders>
                  <w:noWrap/>
                  <w:vAlign w:val="bottom"/>
                  <w:hideMark/>
                </w:tcPr>
                <w:p w14:paraId="0CDC3237"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10</w:t>
                  </w:r>
                </w:p>
              </w:tc>
              <w:tc>
                <w:tcPr>
                  <w:tcW w:w="2126" w:type="dxa"/>
                  <w:tcBorders>
                    <w:top w:val="nil"/>
                    <w:left w:val="nil"/>
                    <w:bottom w:val="single" w:sz="4" w:space="0" w:color="auto"/>
                    <w:right w:val="single" w:sz="4" w:space="0" w:color="auto"/>
                  </w:tcBorders>
                  <w:noWrap/>
                  <w:vAlign w:val="bottom"/>
                  <w:hideMark/>
                </w:tcPr>
                <w:p w14:paraId="767F214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3.12%</w:t>
                  </w:r>
                </w:p>
              </w:tc>
              <w:tc>
                <w:tcPr>
                  <w:tcW w:w="2158" w:type="dxa"/>
                  <w:tcBorders>
                    <w:top w:val="nil"/>
                    <w:left w:val="nil"/>
                    <w:bottom w:val="single" w:sz="4" w:space="0" w:color="auto"/>
                    <w:right w:val="single" w:sz="4" w:space="0" w:color="auto"/>
                  </w:tcBorders>
                  <w:noWrap/>
                  <w:vAlign w:val="bottom"/>
                  <w:hideMark/>
                </w:tcPr>
                <w:p w14:paraId="062D5F18"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1.16%</w:t>
                  </w:r>
                </w:p>
              </w:tc>
            </w:tr>
            <w:tr w:rsidR="002D16C8" w:rsidRPr="0009691C" w14:paraId="221D3902"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12CB9CB4"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Did not answer the question</w:t>
                  </w:r>
                </w:p>
              </w:tc>
              <w:tc>
                <w:tcPr>
                  <w:tcW w:w="1985" w:type="dxa"/>
                  <w:tcBorders>
                    <w:top w:val="nil"/>
                    <w:left w:val="nil"/>
                    <w:bottom w:val="single" w:sz="4" w:space="0" w:color="auto"/>
                    <w:right w:val="single" w:sz="4" w:space="0" w:color="auto"/>
                  </w:tcBorders>
                  <w:noWrap/>
                  <w:vAlign w:val="bottom"/>
                  <w:hideMark/>
                </w:tcPr>
                <w:p w14:paraId="28476B00"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4</w:t>
                  </w:r>
                </w:p>
              </w:tc>
              <w:tc>
                <w:tcPr>
                  <w:tcW w:w="2126" w:type="dxa"/>
                  <w:tcBorders>
                    <w:top w:val="nil"/>
                    <w:left w:val="nil"/>
                    <w:bottom w:val="single" w:sz="4" w:space="0" w:color="auto"/>
                    <w:right w:val="single" w:sz="4" w:space="0" w:color="auto"/>
                  </w:tcBorders>
                  <w:noWrap/>
                  <w:vAlign w:val="bottom"/>
                  <w:hideMark/>
                </w:tcPr>
                <w:p w14:paraId="56E0AF06"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1.25%</w:t>
                  </w:r>
                </w:p>
              </w:tc>
              <w:tc>
                <w:tcPr>
                  <w:tcW w:w="2158" w:type="dxa"/>
                  <w:tcBorders>
                    <w:top w:val="nil"/>
                    <w:left w:val="nil"/>
                    <w:bottom w:val="single" w:sz="4" w:space="0" w:color="auto"/>
                    <w:right w:val="single" w:sz="4" w:space="0" w:color="auto"/>
                  </w:tcBorders>
                  <w:noWrap/>
                  <w:vAlign w:val="bottom"/>
                  <w:hideMark/>
                </w:tcPr>
                <w:p w14:paraId="04A752B9"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0.92%</w:t>
                  </w:r>
                </w:p>
              </w:tc>
            </w:tr>
            <w:tr w:rsidR="002D16C8" w:rsidRPr="0009691C" w14:paraId="44E43344"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5620C53C"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Mixed: White &amp; Asian</w:t>
                  </w:r>
                </w:p>
              </w:tc>
              <w:tc>
                <w:tcPr>
                  <w:tcW w:w="1985" w:type="dxa"/>
                  <w:tcBorders>
                    <w:top w:val="nil"/>
                    <w:left w:val="nil"/>
                    <w:bottom w:val="single" w:sz="4" w:space="0" w:color="auto"/>
                    <w:right w:val="single" w:sz="4" w:space="0" w:color="auto"/>
                  </w:tcBorders>
                  <w:noWrap/>
                  <w:vAlign w:val="bottom"/>
                  <w:hideMark/>
                </w:tcPr>
                <w:p w14:paraId="423B81E3"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7FF2BB4D"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1E087103"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0.08%</w:t>
                  </w:r>
                </w:p>
              </w:tc>
            </w:tr>
            <w:tr w:rsidR="002D16C8" w:rsidRPr="0009691C" w14:paraId="782DCEB3" w14:textId="77777777" w:rsidTr="003C09E4">
              <w:trPr>
                <w:trHeight w:val="567"/>
              </w:trPr>
              <w:tc>
                <w:tcPr>
                  <w:tcW w:w="3577" w:type="dxa"/>
                  <w:tcBorders>
                    <w:top w:val="nil"/>
                    <w:left w:val="single" w:sz="4" w:space="0" w:color="auto"/>
                    <w:bottom w:val="single" w:sz="4" w:space="0" w:color="auto"/>
                    <w:right w:val="single" w:sz="4" w:space="0" w:color="auto"/>
                  </w:tcBorders>
                  <w:noWrap/>
                  <w:vAlign w:val="bottom"/>
                  <w:hideMark/>
                </w:tcPr>
                <w:p w14:paraId="018F93DE"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Mixed: White &amp; Black Caribbean</w:t>
                  </w:r>
                </w:p>
              </w:tc>
              <w:tc>
                <w:tcPr>
                  <w:tcW w:w="1985" w:type="dxa"/>
                  <w:tcBorders>
                    <w:top w:val="nil"/>
                    <w:left w:val="nil"/>
                    <w:bottom w:val="single" w:sz="4" w:space="0" w:color="auto"/>
                    <w:right w:val="single" w:sz="4" w:space="0" w:color="auto"/>
                  </w:tcBorders>
                  <w:noWrap/>
                  <w:vAlign w:val="bottom"/>
                  <w:hideMark/>
                </w:tcPr>
                <w:p w14:paraId="7C286F28"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363D44A0"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677E6D23"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0.03%</w:t>
                  </w:r>
                </w:p>
              </w:tc>
            </w:tr>
            <w:tr w:rsidR="002D16C8" w:rsidRPr="0009691C" w14:paraId="71419845"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105F93F4"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Other Ethnic Group: Arab</w:t>
                  </w:r>
                </w:p>
              </w:tc>
              <w:tc>
                <w:tcPr>
                  <w:tcW w:w="1985" w:type="dxa"/>
                  <w:tcBorders>
                    <w:top w:val="nil"/>
                    <w:left w:val="nil"/>
                    <w:bottom w:val="single" w:sz="4" w:space="0" w:color="auto"/>
                    <w:right w:val="single" w:sz="4" w:space="0" w:color="auto"/>
                  </w:tcBorders>
                  <w:noWrap/>
                  <w:vAlign w:val="bottom"/>
                  <w:hideMark/>
                </w:tcPr>
                <w:p w14:paraId="3DBBB2E9"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64CB621E"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6980120E"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0.47%</w:t>
                  </w:r>
                </w:p>
              </w:tc>
            </w:tr>
            <w:tr w:rsidR="002D16C8" w:rsidRPr="0009691C" w14:paraId="1030C783"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7C7B9290"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Other Ethnic Group: Other</w:t>
                  </w:r>
                </w:p>
              </w:tc>
              <w:tc>
                <w:tcPr>
                  <w:tcW w:w="1985" w:type="dxa"/>
                  <w:tcBorders>
                    <w:top w:val="nil"/>
                    <w:left w:val="nil"/>
                    <w:bottom w:val="single" w:sz="4" w:space="0" w:color="auto"/>
                    <w:right w:val="single" w:sz="4" w:space="0" w:color="auto"/>
                  </w:tcBorders>
                  <w:noWrap/>
                  <w:vAlign w:val="bottom"/>
                  <w:hideMark/>
                </w:tcPr>
                <w:p w14:paraId="2BB29620"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2</w:t>
                  </w:r>
                </w:p>
              </w:tc>
              <w:tc>
                <w:tcPr>
                  <w:tcW w:w="2126" w:type="dxa"/>
                  <w:tcBorders>
                    <w:top w:val="nil"/>
                    <w:left w:val="nil"/>
                    <w:bottom w:val="single" w:sz="4" w:space="0" w:color="auto"/>
                    <w:right w:val="single" w:sz="4" w:space="0" w:color="auto"/>
                  </w:tcBorders>
                  <w:noWrap/>
                  <w:vAlign w:val="bottom"/>
                  <w:hideMark/>
                </w:tcPr>
                <w:p w14:paraId="7D360E2E"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0.62%</w:t>
                  </w:r>
                </w:p>
              </w:tc>
              <w:tc>
                <w:tcPr>
                  <w:tcW w:w="2158" w:type="dxa"/>
                  <w:tcBorders>
                    <w:top w:val="nil"/>
                    <w:left w:val="nil"/>
                    <w:bottom w:val="single" w:sz="4" w:space="0" w:color="auto"/>
                    <w:right w:val="single" w:sz="4" w:space="0" w:color="auto"/>
                  </w:tcBorders>
                  <w:noWrap/>
                  <w:vAlign w:val="bottom"/>
                  <w:hideMark/>
                </w:tcPr>
                <w:p w14:paraId="1DCB02A2"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1.77%</w:t>
                  </w:r>
                </w:p>
              </w:tc>
            </w:tr>
            <w:tr w:rsidR="002D16C8" w:rsidRPr="0009691C" w14:paraId="6A3B7ED1" w14:textId="77777777" w:rsidTr="003C09E4">
              <w:trPr>
                <w:trHeight w:val="624"/>
              </w:trPr>
              <w:tc>
                <w:tcPr>
                  <w:tcW w:w="3577" w:type="dxa"/>
                  <w:tcBorders>
                    <w:top w:val="nil"/>
                    <w:left w:val="single" w:sz="4" w:space="0" w:color="auto"/>
                    <w:bottom w:val="single" w:sz="4" w:space="0" w:color="auto"/>
                    <w:right w:val="single" w:sz="4" w:space="0" w:color="auto"/>
                  </w:tcBorders>
                  <w:noWrap/>
                  <w:vAlign w:val="bottom"/>
                  <w:hideMark/>
                </w:tcPr>
                <w:p w14:paraId="3A62AB15"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Other White: Any other mixed/Multiple</w:t>
                  </w:r>
                </w:p>
              </w:tc>
              <w:tc>
                <w:tcPr>
                  <w:tcW w:w="1985" w:type="dxa"/>
                  <w:tcBorders>
                    <w:top w:val="nil"/>
                    <w:left w:val="nil"/>
                    <w:bottom w:val="single" w:sz="4" w:space="0" w:color="auto"/>
                    <w:right w:val="single" w:sz="4" w:space="0" w:color="auto"/>
                  </w:tcBorders>
                  <w:noWrap/>
                  <w:vAlign w:val="bottom"/>
                  <w:hideMark/>
                </w:tcPr>
                <w:p w14:paraId="764A0AD5"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2</w:t>
                  </w:r>
                </w:p>
              </w:tc>
              <w:tc>
                <w:tcPr>
                  <w:tcW w:w="2126" w:type="dxa"/>
                  <w:tcBorders>
                    <w:top w:val="nil"/>
                    <w:left w:val="nil"/>
                    <w:bottom w:val="single" w:sz="4" w:space="0" w:color="auto"/>
                    <w:right w:val="single" w:sz="4" w:space="0" w:color="auto"/>
                  </w:tcBorders>
                  <w:noWrap/>
                  <w:vAlign w:val="bottom"/>
                  <w:hideMark/>
                </w:tcPr>
                <w:p w14:paraId="118E9527"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0.62%</w:t>
                  </w:r>
                </w:p>
              </w:tc>
              <w:tc>
                <w:tcPr>
                  <w:tcW w:w="2158" w:type="dxa"/>
                  <w:tcBorders>
                    <w:top w:val="nil"/>
                    <w:left w:val="nil"/>
                    <w:bottom w:val="single" w:sz="4" w:space="0" w:color="auto"/>
                    <w:right w:val="single" w:sz="4" w:space="0" w:color="auto"/>
                  </w:tcBorders>
                  <w:noWrap/>
                  <w:vAlign w:val="bottom"/>
                  <w:hideMark/>
                </w:tcPr>
                <w:p w14:paraId="25FCB1BE"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0.19%</w:t>
                  </w:r>
                </w:p>
              </w:tc>
            </w:tr>
            <w:tr w:rsidR="002D16C8" w:rsidRPr="0009691C" w14:paraId="0D01FF04" w14:textId="77777777" w:rsidTr="003C09E4">
              <w:trPr>
                <w:trHeight w:val="397"/>
              </w:trPr>
              <w:tc>
                <w:tcPr>
                  <w:tcW w:w="3577" w:type="dxa"/>
                  <w:tcBorders>
                    <w:top w:val="nil"/>
                    <w:left w:val="single" w:sz="4" w:space="0" w:color="auto"/>
                    <w:bottom w:val="single" w:sz="4" w:space="0" w:color="auto"/>
                    <w:right w:val="single" w:sz="4" w:space="0" w:color="auto"/>
                  </w:tcBorders>
                  <w:noWrap/>
                  <w:vAlign w:val="bottom"/>
                  <w:hideMark/>
                </w:tcPr>
                <w:p w14:paraId="077D0BFE"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Other White: Mixed / Multiple</w:t>
                  </w:r>
                </w:p>
              </w:tc>
              <w:tc>
                <w:tcPr>
                  <w:tcW w:w="1985" w:type="dxa"/>
                  <w:tcBorders>
                    <w:top w:val="nil"/>
                    <w:left w:val="nil"/>
                    <w:bottom w:val="single" w:sz="4" w:space="0" w:color="auto"/>
                    <w:right w:val="single" w:sz="4" w:space="0" w:color="auto"/>
                  </w:tcBorders>
                  <w:noWrap/>
                  <w:vAlign w:val="bottom"/>
                  <w:hideMark/>
                </w:tcPr>
                <w:p w14:paraId="6341D09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6</w:t>
                  </w:r>
                </w:p>
              </w:tc>
              <w:tc>
                <w:tcPr>
                  <w:tcW w:w="2126" w:type="dxa"/>
                  <w:tcBorders>
                    <w:top w:val="nil"/>
                    <w:left w:val="nil"/>
                    <w:bottom w:val="single" w:sz="4" w:space="0" w:color="auto"/>
                    <w:right w:val="single" w:sz="4" w:space="0" w:color="auto"/>
                  </w:tcBorders>
                  <w:noWrap/>
                  <w:vAlign w:val="bottom"/>
                  <w:hideMark/>
                </w:tcPr>
                <w:p w14:paraId="6EECD97E"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1.87%</w:t>
                  </w:r>
                </w:p>
              </w:tc>
              <w:tc>
                <w:tcPr>
                  <w:tcW w:w="2158" w:type="dxa"/>
                  <w:tcBorders>
                    <w:top w:val="nil"/>
                    <w:left w:val="nil"/>
                    <w:bottom w:val="single" w:sz="4" w:space="0" w:color="auto"/>
                    <w:right w:val="single" w:sz="4" w:space="0" w:color="auto"/>
                  </w:tcBorders>
                  <w:noWrap/>
                  <w:vAlign w:val="bottom"/>
                  <w:hideMark/>
                </w:tcPr>
                <w:p w14:paraId="0F60BB66"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1.08%</w:t>
                  </w:r>
                </w:p>
              </w:tc>
            </w:tr>
            <w:tr w:rsidR="002D16C8" w:rsidRPr="0009691C" w14:paraId="7766D5A8" w14:textId="77777777" w:rsidTr="001E34AB">
              <w:trPr>
                <w:trHeight w:val="454"/>
              </w:trPr>
              <w:tc>
                <w:tcPr>
                  <w:tcW w:w="3577" w:type="dxa"/>
                  <w:tcBorders>
                    <w:top w:val="nil"/>
                    <w:left w:val="single" w:sz="4" w:space="0" w:color="auto"/>
                    <w:bottom w:val="single" w:sz="4" w:space="0" w:color="auto"/>
                    <w:right w:val="single" w:sz="4" w:space="0" w:color="auto"/>
                  </w:tcBorders>
                  <w:noWrap/>
                  <w:vAlign w:val="bottom"/>
                  <w:hideMark/>
                </w:tcPr>
                <w:p w14:paraId="20A0F075"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Other White: White and Asian</w:t>
                  </w:r>
                </w:p>
              </w:tc>
              <w:tc>
                <w:tcPr>
                  <w:tcW w:w="1985" w:type="dxa"/>
                  <w:tcBorders>
                    <w:top w:val="nil"/>
                    <w:left w:val="nil"/>
                    <w:bottom w:val="single" w:sz="4" w:space="0" w:color="auto"/>
                    <w:right w:val="single" w:sz="4" w:space="0" w:color="auto"/>
                  </w:tcBorders>
                  <w:noWrap/>
                  <w:vAlign w:val="bottom"/>
                  <w:hideMark/>
                </w:tcPr>
                <w:p w14:paraId="59356E3A"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71D289F9"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35040CAB"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0.30%</w:t>
                  </w:r>
                </w:p>
              </w:tc>
            </w:tr>
            <w:tr w:rsidR="002D16C8" w:rsidRPr="0009691C" w14:paraId="34E44687" w14:textId="77777777" w:rsidTr="009D5124">
              <w:trPr>
                <w:trHeight w:val="612"/>
              </w:trPr>
              <w:tc>
                <w:tcPr>
                  <w:tcW w:w="3577" w:type="dxa"/>
                  <w:tcBorders>
                    <w:top w:val="nil"/>
                    <w:left w:val="single" w:sz="4" w:space="0" w:color="auto"/>
                    <w:bottom w:val="single" w:sz="4" w:space="0" w:color="auto"/>
                    <w:right w:val="single" w:sz="4" w:space="0" w:color="auto"/>
                  </w:tcBorders>
                  <w:noWrap/>
                  <w:vAlign w:val="bottom"/>
                  <w:hideMark/>
                </w:tcPr>
                <w:p w14:paraId="3F1F908F"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Other White: White and Black African</w:t>
                  </w:r>
                </w:p>
              </w:tc>
              <w:tc>
                <w:tcPr>
                  <w:tcW w:w="1985" w:type="dxa"/>
                  <w:tcBorders>
                    <w:top w:val="nil"/>
                    <w:left w:val="nil"/>
                    <w:bottom w:val="single" w:sz="4" w:space="0" w:color="auto"/>
                    <w:right w:val="single" w:sz="4" w:space="0" w:color="auto"/>
                  </w:tcBorders>
                  <w:noWrap/>
                  <w:vAlign w:val="bottom"/>
                  <w:hideMark/>
                </w:tcPr>
                <w:p w14:paraId="38F9819C"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56EE1856"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07286CD8"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0.24%</w:t>
                  </w:r>
                </w:p>
              </w:tc>
            </w:tr>
            <w:tr w:rsidR="002D16C8" w:rsidRPr="0009691C" w14:paraId="6AE5F64E"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34727B64" w14:textId="0ED0DDFE" w:rsidR="002D16C8" w:rsidRPr="0009691C" w:rsidRDefault="002D16C8" w:rsidP="002D16C8">
                  <w:pPr>
                    <w:rPr>
                      <w:rFonts w:ascii="Work Sans" w:hAnsi="Work Sans" w:cs="Arial"/>
                      <w:sz w:val="22"/>
                      <w:szCs w:val="22"/>
                    </w:rPr>
                  </w:pPr>
                  <w:r w:rsidRPr="0009691C">
                    <w:rPr>
                      <w:rFonts w:ascii="Work Sans" w:hAnsi="Work Sans" w:cs="Arial"/>
                      <w:sz w:val="22"/>
                      <w:szCs w:val="22"/>
                    </w:rPr>
                    <w:t xml:space="preserve">Other White: White and Black </w:t>
                  </w:r>
                  <w:r w:rsidR="008211C3" w:rsidRPr="0009691C">
                    <w:rPr>
                      <w:rFonts w:ascii="Work Sans" w:hAnsi="Work Sans" w:cs="Arial"/>
                      <w:sz w:val="22"/>
                      <w:szCs w:val="22"/>
                    </w:rPr>
                    <w:t>Caribbean</w:t>
                  </w:r>
                </w:p>
              </w:tc>
              <w:tc>
                <w:tcPr>
                  <w:tcW w:w="1985" w:type="dxa"/>
                  <w:tcBorders>
                    <w:top w:val="nil"/>
                    <w:left w:val="nil"/>
                    <w:bottom w:val="single" w:sz="4" w:space="0" w:color="auto"/>
                    <w:right w:val="single" w:sz="4" w:space="0" w:color="auto"/>
                  </w:tcBorders>
                  <w:noWrap/>
                  <w:vAlign w:val="bottom"/>
                  <w:hideMark/>
                </w:tcPr>
                <w:p w14:paraId="26F476B5"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10</w:t>
                  </w:r>
                </w:p>
              </w:tc>
              <w:tc>
                <w:tcPr>
                  <w:tcW w:w="2126" w:type="dxa"/>
                  <w:tcBorders>
                    <w:top w:val="nil"/>
                    <w:left w:val="nil"/>
                    <w:bottom w:val="single" w:sz="4" w:space="0" w:color="auto"/>
                    <w:right w:val="single" w:sz="4" w:space="0" w:color="auto"/>
                  </w:tcBorders>
                  <w:noWrap/>
                  <w:vAlign w:val="bottom"/>
                  <w:hideMark/>
                </w:tcPr>
                <w:p w14:paraId="0B7ACD42"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3.12%</w:t>
                  </w:r>
                </w:p>
              </w:tc>
              <w:tc>
                <w:tcPr>
                  <w:tcW w:w="2158" w:type="dxa"/>
                  <w:tcBorders>
                    <w:top w:val="nil"/>
                    <w:left w:val="nil"/>
                    <w:bottom w:val="single" w:sz="4" w:space="0" w:color="auto"/>
                    <w:right w:val="single" w:sz="4" w:space="0" w:color="auto"/>
                  </w:tcBorders>
                  <w:noWrap/>
                  <w:vAlign w:val="bottom"/>
                  <w:hideMark/>
                </w:tcPr>
                <w:p w14:paraId="012105BE"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0.90%</w:t>
                  </w:r>
                </w:p>
              </w:tc>
            </w:tr>
            <w:tr w:rsidR="002D16C8" w:rsidRPr="0009691C" w14:paraId="5D00CCB6" w14:textId="77777777" w:rsidTr="001E34AB">
              <w:trPr>
                <w:trHeight w:val="340"/>
              </w:trPr>
              <w:tc>
                <w:tcPr>
                  <w:tcW w:w="3577" w:type="dxa"/>
                  <w:tcBorders>
                    <w:top w:val="nil"/>
                    <w:left w:val="single" w:sz="4" w:space="0" w:color="auto"/>
                    <w:bottom w:val="single" w:sz="4" w:space="0" w:color="auto"/>
                    <w:right w:val="single" w:sz="4" w:space="0" w:color="auto"/>
                  </w:tcBorders>
                  <w:noWrap/>
                  <w:vAlign w:val="bottom"/>
                  <w:hideMark/>
                </w:tcPr>
                <w:p w14:paraId="1326F597"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Prefer not to say</w:t>
                  </w:r>
                </w:p>
              </w:tc>
              <w:tc>
                <w:tcPr>
                  <w:tcW w:w="1985" w:type="dxa"/>
                  <w:tcBorders>
                    <w:top w:val="nil"/>
                    <w:left w:val="nil"/>
                    <w:bottom w:val="single" w:sz="4" w:space="0" w:color="auto"/>
                    <w:right w:val="single" w:sz="4" w:space="0" w:color="auto"/>
                  </w:tcBorders>
                  <w:noWrap/>
                  <w:vAlign w:val="bottom"/>
                  <w:hideMark/>
                </w:tcPr>
                <w:p w14:paraId="58A86C68"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5053C7B8"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3921B3F0"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0.30%</w:t>
                  </w:r>
                </w:p>
              </w:tc>
            </w:tr>
            <w:tr w:rsidR="002D16C8" w:rsidRPr="0009691C" w14:paraId="00AC18EA"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02BA49BF"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Refused</w:t>
                  </w:r>
                </w:p>
              </w:tc>
              <w:tc>
                <w:tcPr>
                  <w:tcW w:w="1985" w:type="dxa"/>
                  <w:tcBorders>
                    <w:top w:val="nil"/>
                    <w:left w:val="nil"/>
                    <w:bottom w:val="single" w:sz="4" w:space="0" w:color="auto"/>
                    <w:right w:val="single" w:sz="4" w:space="0" w:color="auto"/>
                  </w:tcBorders>
                  <w:noWrap/>
                  <w:vAlign w:val="bottom"/>
                  <w:hideMark/>
                </w:tcPr>
                <w:p w14:paraId="3FABDFE1"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3FB89D1F"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28708BB3"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0.03%</w:t>
                  </w:r>
                </w:p>
              </w:tc>
            </w:tr>
            <w:tr w:rsidR="002D16C8" w:rsidRPr="0009691C" w14:paraId="76E0C378"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6544760A"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Unknown</w:t>
                  </w:r>
                </w:p>
              </w:tc>
              <w:tc>
                <w:tcPr>
                  <w:tcW w:w="1985" w:type="dxa"/>
                  <w:tcBorders>
                    <w:top w:val="nil"/>
                    <w:left w:val="nil"/>
                    <w:bottom w:val="single" w:sz="4" w:space="0" w:color="auto"/>
                    <w:right w:val="single" w:sz="4" w:space="0" w:color="auto"/>
                  </w:tcBorders>
                  <w:noWrap/>
                  <w:vAlign w:val="bottom"/>
                  <w:hideMark/>
                </w:tcPr>
                <w:p w14:paraId="0E713DD8"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38</w:t>
                  </w:r>
                </w:p>
              </w:tc>
              <w:tc>
                <w:tcPr>
                  <w:tcW w:w="2126" w:type="dxa"/>
                  <w:tcBorders>
                    <w:top w:val="nil"/>
                    <w:left w:val="nil"/>
                    <w:bottom w:val="single" w:sz="4" w:space="0" w:color="auto"/>
                    <w:right w:val="single" w:sz="4" w:space="0" w:color="auto"/>
                  </w:tcBorders>
                  <w:noWrap/>
                  <w:vAlign w:val="bottom"/>
                  <w:hideMark/>
                </w:tcPr>
                <w:p w14:paraId="295E4F1A"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11.84%</w:t>
                  </w:r>
                </w:p>
              </w:tc>
              <w:tc>
                <w:tcPr>
                  <w:tcW w:w="2158" w:type="dxa"/>
                  <w:tcBorders>
                    <w:top w:val="nil"/>
                    <w:left w:val="nil"/>
                    <w:bottom w:val="single" w:sz="4" w:space="0" w:color="auto"/>
                    <w:right w:val="single" w:sz="4" w:space="0" w:color="auto"/>
                  </w:tcBorders>
                  <w:noWrap/>
                  <w:vAlign w:val="bottom"/>
                  <w:hideMark/>
                </w:tcPr>
                <w:p w14:paraId="220D64CD"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16.50%</w:t>
                  </w:r>
                </w:p>
              </w:tc>
            </w:tr>
            <w:tr w:rsidR="002D16C8" w:rsidRPr="0009691C" w14:paraId="70A0B5D9"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27B7B8DF"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White: British</w:t>
                  </w:r>
                </w:p>
              </w:tc>
              <w:tc>
                <w:tcPr>
                  <w:tcW w:w="1985" w:type="dxa"/>
                  <w:tcBorders>
                    <w:top w:val="nil"/>
                    <w:left w:val="nil"/>
                    <w:bottom w:val="single" w:sz="4" w:space="0" w:color="auto"/>
                    <w:right w:val="single" w:sz="4" w:space="0" w:color="auto"/>
                  </w:tcBorders>
                  <w:noWrap/>
                  <w:vAlign w:val="bottom"/>
                  <w:hideMark/>
                </w:tcPr>
                <w:p w14:paraId="4E3C1A9A"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207</w:t>
                  </w:r>
                </w:p>
              </w:tc>
              <w:tc>
                <w:tcPr>
                  <w:tcW w:w="2126" w:type="dxa"/>
                  <w:tcBorders>
                    <w:top w:val="nil"/>
                    <w:left w:val="nil"/>
                    <w:bottom w:val="single" w:sz="4" w:space="0" w:color="auto"/>
                    <w:right w:val="single" w:sz="4" w:space="0" w:color="auto"/>
                  </w:tcBorders>
                  <w:noWrap/>
                  <w:vAlign w:val="bottom"/>
                  <w:hideMark/>
                </w:tcPr>
                <w:p w14:paraId="72D56CBF"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64.49%</w:t>
                  </w:r>
                </w:p>
              </w:tc>
              <w:tc>
                <w:tcPr>
                  <w:tcW w:w="2158" w:type="dxa"/>
                  <w:tcBorders>
                    <w:top w:val="nil"/>
                    <w:left w:val="nil"/>
                    <w:bottom w:val="single" w:sz="4" w:space="0" w:color="auto"/>
                    <w:right w:val="single" w:sz="4" w:space="0" w:color="auto"/>
                  </w:tcBorders>
                  <w:noWrap/>
                  <w:vAlign w:val="bottom"/>
                  <w:hideMark/>
                </w:tcPr>
                <w:p w14:paraId="00B9BD52"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65.08%</w:t>
                  </w:r>
                </w:p>
              </w:tc>
            </w:tr>
            <w:tr w:rsidR="002D16C8" w:rsidRPr="0009691C" w14:paraId="31666DCD"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606D357A"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White: Gypsy/ Irish Traveller</w:t>
                  </w:r>
                </w:p>
              </w:tc>
              <w:tc>
                <w:tcPr>
                  <w:tcW w:w="1985" w:type="dxa"/>
                  <w:tcBorders>
                    <w:top w:val="nil"/>
                    <w:left w:val="nil"/>
                    <w:bottom w:val="single" w:sz="4" w:space="0" w:color="auto"/>
                    <w:right w:val="single" w:sz="4" w:space="0" w:color="auto"/>
                  </w:tcBorders>
                  <w:noWrap/>
                  <w:vAlign w:val="bottom"/>
                  <w:hideMark/>
                </w:tcPr>
                <w:p w14:paraId="58A9610F"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74FD712F"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39EC1821"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0.05%</w:t>
                  </w:r>
                </w:p>
              </w:tc>
            </w:tr>
            <w:tr w:rsidR="002D16C8" w:rsidRPr="0009691C" w14:paraId="2ABAD9C7" w14:textId="77777777" w:rsidTr="001E34AB">
              <w:trPr>
                <w:trHeight w:val="340"/>
              </w:trPr>
              <w:tc>
                <w:tcPr>
                  <w:tcW w:w="3577" w:type="dxa"/>
                  <w:tcBorders>
                    <w:top w:val="nil"/>
                    <w:left w:val="single" w:sz="4" w:space="0" w:color="auto"/>
                    <w:bottom w:val="single" w:sz="4" w:space="0" w:color="auto"/>
                    <w:right w:val="single" w:sz="4" w:space="0" w:color="auto"/>
                  </w:tcBorders>
                  <w:noWrap/>
                  <w:vAlign w:val="bottom"/>
                  <w:hideMark/>
                </w:tcPr>
                <w:p w14:paraId="418F13B6"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White: Irish</w:t>
                  </w:r>
                </w:p>
              </w:tc>
              <w:tc>
                <w:tcPr>
                  <w:tcW w:w="1985" w:type="dxa"/>
                  <w:tcBorders>
                    <w:top w:val="nil"/>
                    <w:left w:val="nil"/>
                    <w:bottom w:val="single" w:sz="4" w:space="0" w:color="auto"/>
                    <w:right w:val="single" w:sz="4" w:space="0" w:color="auto"/>
                  </w:tcBorders>
                  <w:noWrap/>
                  <w:vAlign w:val="bottom"/>
                  <w:hideMark/>
                </w:tcPr>
                <w:p w14:paraId="28F3F679"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26" w:type="dxa"/>
                  <w:tcBorders>
                    <w:top w:val="nil"/>
                    <w:left w:val="nil"/>
                    <w:bottom w:val="single" w:sz="4" w:space="0" w:color="auto"/>
                    <w:right w:val="single" w:sz="4" w:space="0" w:color="auto"/>
                  </w:tcBorders>
                  <w:noWrap/>
                  <w:vAlign w:val="bottom"/>
                  <w:hideMark/>
                </w:tcPr>
                <w:p w14:paraId="32435321"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 </w:t>
                  </w:r>
                </w:p>
              </w:tc>
              <w:tc>
                <w:tcPr>
                  <w:tcW w:w="2158" w:type="dxa"/>
                  <w:tcBorders>
                    <w:top w:val="nil"/>
                    <w:left w:val="nil"/>
                    <w:bottom w:val="single" w:sz="4" w:space="0" w:color="auto"/>
                    <w:right w:val="single" w:sz="4" w:space="0" w:color="auto"/>
                  </w:tcBorders>
                  <w:noWrap/>
                  <w:vAlign w:val="bottom"/>
                  <w:hideMark/>
                </w:tcPr>
                <w:p w14:paraId="5BD8E44A"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0.28%</w:t>
                  </w:r>
                </w:p>
              </w:tc>
            </w:tr>
            <w:tr w:rsidR="002D16C8" w:rsidRPr="0009691C" w14:paraId="3BB960FC" w14:textId="77777777" w:rsidTr="009D5124">
              <w:trPr>
                <w:trHeight w:val="349"/>
              </w:trPr>
              <w:tc>
                <w:tcPr>
                  <w:tcW w:w="3577" w:type="dxa"/>
                  <w:tcBorders>
                    <w:top w:val="nil"/>
                    <w:left w:val="single" w:sz="4" w:space="0" w:color="auto"/>
                    <w:bottom w:val="single" w:sz="4" w:space="0" w:color="auto"/>
                    <w:right w:val="single" w:sz="4" w:space="0" w:color="auto"/>
                  </w:tcBorders>
                  <w:noWrap/>
                  <w:vAlign w:val="bottom"/>
                  <w:hideMark/>
                </w:tcPr>
                <w:p w14:paraId="5D417A89" w14:textId="77777777" w:rsidR="002D16C8" w:rsidRPr="0009691C" w:rsidRDefault="002D16C8" w:rsidP="002D16C8">
                  <w:pPr>
                    <w:rPr>
                      <w:rFonts w:ascii="Work Sans" w:hAnsi="Work Sans" w:cs="Arial"/>
                      <w:sz w:val="22"/>
                      <w:szCs w:val="22"/>
                    </w:rPr>
                  </w:pPr>
                  <w:r w:rsidRPr="0009691C">
                    <w:rPr>
                      <w:rFonts w:ascii="Work Sans" w:hAnsi="Work Sans" w:cs="Arial"/>
                      <w:sz w:val="22"/>
                      <w:szCs w:val="22"/>
                    </w:rPr>
                    <w:t>White: Other</w:t>
                  </w:r>
                </w:p>
              </w:tc>
              <w:tc>
                <w:tcPr>
                  <w:tcW w:w="1985" w:type="dxa"/>
                  <w:tcBorders>
                    <w:top w:val="nil"/>
                    <w:left w:val="nil"/>
                    <w:bottom w:val="single" w:sz="4" w:space="0" w:color="auto"/>
                    <w:right w:val="single" w:sz="4" w:space="0" w:color="auto"/>
                  </w:tcBorders>
                  <w:noWrap/>
                  <w:vAlign w:val="bottom"/>
                  <w:hideMark/>
                </w:tcPr>
                <w:p w14:paraId="3406D268"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10</w:t>
                  </w:r>
                </w:p>
              </w:tc>
              <w:tc>
                <w:tcPr>
                  <w:tcW w:w="2126" w:type="dxa"/>
                  <w:tcBorders>
                    <w:top w:val="nil"/>
                    <w:left w:val="nil"/>
                    <w:bottom w:val="single" w:sz="4" w:space="0" w:color="auto"/>
                    <w:right w:val="single" w:sz="4" w:space="0" w:color="auto"/>
                  </w:tcBorders>
                  <w:noWrap/>
                  <w:vAlign w:val="bottom"/>
                  <w:hideMark/>
                </w:tcPr>
                <w:p w14:paraId="04C2A432"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3.12%</w:t>
                  </w:r>
                </w:p>
              </w:tc>
              <w:tc>
                <w:tcPr>
                  <w:tcW w:w="2158" w:type="dxa"/>
                  <w:tcBorders>
                    <w:top w:val="nil"/>
                    <w:left w:val="nil"/>
                    <w:bottom w:val="single" w:sz="4" w:space="0" w:color="auto"/>
                    <w:right w:val="single" w:sz="4" w:space="0" w:color="auto"/>
                  </w:tcBorders>
                  <w:noWrap/>
                  <w:vAlign w:val="bottom"/>
                  <w:hideMark/>
                </w:tcPr>
                <w:p w14:paraId="3A21BF6C" w14:textId="77777777" w:rsidR="002D16C8" w:rsidRPr="0009691C" w:rsidRDefault="002D16C8" w:rsidP="002D16C8">
                  <w:pPr>
                    <w:jc w:val="right"/>
                    <w:rPr>
                      <w:rFonts w:ascii="Work Sans" w:hAnsi="Work Sans" w:cs="Arial"/>
                      <w:sz w:val="22"/>
                      <w:szCs w:val="22"/>
                    </w:rPr>
                  </w:pPr>
                  <w:r w:rsidRPr="0009691C">
                    <w:rPr>
                      <w:rFonts w:ascii="Work Sans" w:hAnsi="Work Sans" w:cs="Arial"/>
                      <w:sz w:val="22"/>
                      <w:szCs w:val="22"/>
                    </w:rPr>
                    <w:t>1.87%</w:t>
                  </w:r>
                </w:p>
              </w:tc>
            </w:tr>
          </w:tbl>
          <w:p w14:paraId="1566CB31" w14:textId="17CA055B" w:rsidR="00D0302C" w:rsidRPr="0009691C" w:rsidRDefault="00D0302C" w:rsidP="001B119F">
            <w:pPr>
              <w:spacing w:before="60" w:after="120"/>
              <w:ind w:left="794"/>
            </w:pPr>
          </w:p>
          <w:p w14:paraId="196671E4" w14:textId="77777777" w:rsidR="001B119F" w:rsidRPr="0009691C" w:rsidRDefault="001B119F" w:rsidP="001B119F">
            <w:pPr>
              <w:pStyle w:val="ListParagraph"/>
              <w:spacing w:before="60" w:after="120"/>
              <w:ind w:left="794"/>
              <w:jc w:val="both"/>
              <w:rPr>
                <w:rFonts w:ascii="Work Sans" w:eastAsia="Work Sans" w:hAnsi="Work Sans" w:cs="Work Sans"/>
                <w:b/>
                <w:bCs/>
              </w:rPr>
            </w:pPr>
            <w:r w:rsidRPr="0009691C">
              <w:rPr>
                <w:rFonts w:ascii="Work Sans" w:eastAsia="Work Sans" w:hAnsi="Work Sans" w:cs="Work Sans"/>
                <w:b/>
                <w:bCs/>
              </w:rPr>
              <w:t>Disability</w:t>
            </w:r>
          </w:p>
          <w:p w14:paraId="0A2BE53D" w14:textId="34CBF26F" w:rsidR="001B119F" w:rsidRPr="0009691C" w:rsidRDefault="001161A3" w:rsidP="0019179A">
            <w:pPr>
              <w:pStyle w:val="ListParagraph"/>
              <w:numPr>
                <w:ilvl w:val="1"/>
                <w:numId w:val="1"/>
              </w:numPr>
              <w:spacing w:before="60" w:after="120"/>
              <w:ind w:left="794" w:hanging="794"/>
              <w:jc w:val="both"/>
              <w:rPr>
                <w:rFonts w:ascii="Work Sans" w:eastAsia="Work Sans" w:hAnsi="Work Sans" w:cs="Work Sans"/>
                <w:strike/>
              </w:rPr>
            </w:pPr>
            <w:r w:rsidRPr="0009691C">
              <w:rPr>
                <w:rFonts w:ascii="Work Sans" w:eastAsia="Work Sans" w:hAnsi="Work Sans" w:cs="Work Sans"/>
              </w:rPr>
              <w:t>Data shows that 2</w:t>
            </w:r>
            <w:r w:rsidR="008D19E6" w:rsidRPr="0009691C">
              <w:rPr>
                <w:rFonts w:ascii="Work Sans" w:eastAsia="Work Sans" w:hAnsi="Work Sans" w:cs="Work Sans"/>
              </w:rPr>
              <w:t>8.04</w:t>
            </w:r>
            <w:r w:rsidRPr="0009691C">
              <w:rPr>
                <w:rFonts w:ascii="Work Sans" w:eastAsia="Work Sans" w:hAnsi="Work Sans" w:cs="Work Sans"/>
              </w:rPr>
              <w:t xml:space="preserve">% of complaints come from customers who have a disability recorded. </w:t>
            </w:r>
            <w:r w:rsidR="00E74844" w:rsidRPr="0009691C">
              <w:rPr>
                <w:rFonts w:ascii="Work Sans" w:eastAsia="Work Sans" w:hAnsi="Work Sans" w:cs="Work Sans"/>
              </w:rPr>
              <w:t xml:space="preserve"> </w:t>
            </w:r>
            <w:r w:rsidR="00D77078" w:rsidRPr="0009691C">
              <w:rPr>
                <w:rFonts w:ascii="Work Sans" w:eastAsia="Work Sans" w:hAnsi="Work Sans" w:cs="Work Sans"/>
              </w:rPr>
              <w:t xml:space="preserve">This </w:t>
            </w:r>
            <w:r w:rsidR="001E28C4" w:rsidRPr="0009691C">
              <w:rPr>
                <w:rFonts w:ascii="Work Sans" w:eastAsia="Work Sans" w:hAnsi="Work Sans" w:cs="Work Sans"/>
              </w:rPr>
              <w:t xml:space="preserve">is higher than all SYHA </w:t>
            </w:r>
            <w:r w:rsidR="006C20C5" w:rsidRPr="0009691C">
              <w:rPr>
                <w:rFonts w:ascii="Work Sans" w:eastAsia="Work Sans" w:hAnsi="Work Sans" w:cs="Work Sans"/>
              </w:rPr>
              <w:t>tenants,</w:t>
            </w:r>
            <w:r w:rsidR="004A3F62" w:rsidRPr="0009691C">
              <w:rPr>
                <w:rFonts w:ascii="Work Sans" w:eastAsia="Work Sans" w:hAnsi="Work Sans" w:cs="Work Sans"/>
              </w:rPr>
              <w:t xml:space="preserve"> but this may be explained by </w:t>
            </w:r>
            <w:r w:rsidR="00E179E8" w:rsidRPr="0009691C">
              <w:rPr>
                <w:rFonts w:ascii="Work Sans" w:eastAsia="Work Sans" w:hAnsi="Work Sans" w:cs="Work Sans"/>
              </w:rPr>
              <w:t xml:space="preserve">better conversations and better records </w:t>
            </w:r>
            <w:r w:rsidR="006F170A" w:rsidRPr="0009691C">
              <w:rPr>
                <w:rFonts w:ascii="Work Sans" w:eastAsia="Work Sans" w:hAnsi="Work Sans" w:cs="Work Sans"/>
              </w:rPr>
              <w:t>when someone makes a complaint. W</w:t>
            </w:r>
            <w:r w:rsidR="00E74844" w:rsidRPr="0009691C">
              <w:rPr>
                <w:rFonts w:ascii="Work Sans" w:eastAsia="Work Sans" w:hAnsi="Work Sans" w:cs="Work Sans"/>
              </w:rPr>
              <w:t>henever</w:t>
            </w:r>
            <w:r w:rsidR="001B119F" w:rsidRPr="0009691C">
              <w:rPr>
                <w:rFonts w:ascii="Work Sans" w:eastAsia="Work Sans" w:hAnsi="Work Sans" w:cs="Work Sans"/>
              </w:rPr>
              <w:t xml:space="preserve"> someone makes a complaint, we use this as an opportunity t</w:t>
            </w:r>
            <w:r w:rsidR="000C6236" w:rsidRPr="0009691C">
              <w:rPr>
                <w:rFonts w:ascii="Work Sans" w:eastAsia="Work Sans" w:hAnsi="Work Sans" w:cs="Work Sans"/>
              </w:rPr>
              <w:t xml:space="preserve">o </w:t>
            </w:r>
            <w:r w:rsidR="007401E5" w:rsidRPr="0009691C">
              <w:rPr>
                <w:rFonts w:ascii="Work Sans" w:eastAsia="Work Sans" w:hAnsi="Work Sans" w:cs="Work Sans"/>
              </w:rPr>
              <w:t>talk to them about any</w:t>
            </w:r>
            <w:r w:rsidR="001B119F" w:rsidRPr="0009691C">
              <w:rPr>
                <w:rFonts w:ascii="Work Sans" w:eastAsia="Work Sans" w:hAnsi="Work Sans" w:cs="Work Sans"/>
              </w:rPr>
              <w:t xml:space="preserve"> disabilities and vulnerabilities</w:t>
            </w:r>
            <w:r w:rsidR="00E74844" w:rsidRPr="0009691C">
              <w:rPr>
                <w:rFonts w:ascii="Work Sans" w:eastAsia="Work Sans" w:hAnsi="Work Sans" w:cs="Work Sans"/>
              </w:rPr>
              <w:t xml:space="preserve"> </w:t>
            </w:r>
            <w:r w:rsidR="007401E5" w:rsidRPr="0009691C">
              <w:rPr>
                <w:rFonts w:ascii="Work Sans" w:eastAsia="Work Sans" w:hAnsi="Work Sans" w:cs="Work Sans"/>
              </w:rPr>
              <w:t xml:space="preserve">they may have and </w:t>
            </w:r>
            <w:r w:rsidR="00E74844" w:rsidRPr="0009691C">
              <w:rPr>
                <w:rFonts w:ascii="Work Sans" w:eastAsia="Work Sans" w:hAnsi="Work Sans" w:cs="Work Sans"/>
              </w:rPr>
              <w:t>update our records</w:t>
            </w:r>
            <w:r w:rsidR="007401E5" w:rsidRPr="0009691C">
              <w:rPr>
                <w:rFonts w:ascii="Work Sans" w:eastAsia="Work Sans" w:hAnsi="Work Sans" w:cs="Work Sans"/>
              </w:rPr>
              <w:t>.</w:t>
            </w:r>
            <w:r w:rsidR="00145E52" w:rsidRPr="0009691C">
              <w:rPr>
                <w:rFonts w:ascii="Work Sans" w:eastAsia="Work Sans" w:hAnsi="Work Sans" w:cs="Work Sans"/>
              </w:rPr>
              <w:t xml:space="preserve"> T</w:t>
            </w:r>
            <w:r w:rsidR="001B119F" w:rsidRPr="0009691C">
              <w:rPr>
                <w:rFonts w:ascii="Work Sans" w:eastAsia="Work Sans" w:hAnsi="Work Sans" w:cs="Work Sans"/>
              </w:rPr>
              <w:t xml:space="preserve">he data collection exercise </w:t>
            </w:r>
            <w:r w:rsidR="007A7DAF" w:rsidRPr="0009691C">
              <w:rPr>
                <w:rFonts w:ascii="Work Sans" w:eastAsia="Work Sans" w:hAnsi="Work Sans" w:cs="Work Sans"/>
              </w:rPr>
              <w:t xml:space="preserve">will help to </w:t>
            </w:r>
            <w:r w:rsidR="00BC4031" w:rsidRPr="0009691C">
              <w:rPr>
                <w:rFonts w:ascii="Work Sans" w:eastAsia="Work Sans" w:hAnsi="Work Sans" w:cs="Work Sans"/>
              </w:rPr>
              <w:t xml:space="preserve">reduce the number of </w:t>
            </w:r>
            <w:r w:rsidR="00FE2D07">
              <w:rPr>
                <w:rFonts w:ascii="Work Sans" w:eastAsia="Work Sans" w:hAnsi="Work Sans" w:cs="Work Sans"/>
              </w:rPr>
              <w:t>‘</w:t>
            </w:r>
            <w:r w:rsidR="00BC4031" w:rsidRPr="0009691C">
              <w:rPr>
                <w:rFonts w:ascii="Work Sans" w:eastAsia="Work Sans" w:hAnsi="Work Sans" w:cs="Work Sans"/>
              </w:rPr>
              <w:t>Unknowns</w:t>
            </w:r>
            <w:r w:rsidR="00FE2D07">
              <w:rPr>
                <w:rFonts w:ascii="Work Sans" w:eastAsia="Work Sans" w:hAnsi="Work Sans" w:cs="Work Sans"/>
              </w:rPr>
              <w:t>’</w:t>
            </w:r>
            <w:r w:rsidR="00BC4031" w:rsidRPr="0009691C">
              <w:rPr>
                <w:rFonts w:ascii="Work Sans" w:eastAsia="Work Sans" w:hAnsi="Work Sans" w:cs="Work Sans"/>
              </w:rPr>
              <w:t>.</w:t>
            </w:r>
          </w:p>
          <w:tbl>
            <w:tblPr>
              <w:tblW w:w="9871" w:type="dxa"/>
              <w:tblLook w:val="04A0" w:firstRow="1" w:lastRow="0" w:firstColumn="1" w:lastColumn="0" w:noHBand="0" w:noVBand="1"/>
            </w:tblPr>
            <w:tblGrid>
              <w:gridCol w:w="3732"/>
              <w:gridCol w:w="1690"/>
              <w:gridCol w:w="2057"/>
              <w:gridCol w:w="2392"/>
            </w:tblGrid>
            <w:tr w:rsidR="008D0F25" w:rsidRPr="0009691C" w14:paraId="5A7F597A" w14:textId="77777777" w:rsidTr="008D0F25">
              <w:trPr>
                <w:trHeight w:val="537"/>
              </w:trPr>
              <w:tc>
                <w:tcPr>
                  <w:tcW w:w="3732" w:type="dxa"/>
                  <w:tcBorders>
                    <w:top w:val="single" w:sz="4" w:space="0" w:color="auto"/>
                    <w:left w:val="single" w:sz="4" w:space="0" w:color="auto"/>
                    <w:bottom w:val="single" w:sz="4" w:space="0" w:color="auto"/>
                    <w:right w:val="single" w:sz="4" w:space="0" w:color="auto"/>
                  </w:tcBorders>
                  <w:shd w:val="clear" w:color="000000" w:fill="C0504D"/>
                  <w:noWrap/>
                  <w:vAlign w:val="center"/>
                  <w:hideMark/>
                </w:tcPr>
                <w:p w14:paraId="1D985830" w14:textId="77777777" w:rsidR="008D0F25" w:rsidRPr="0009691C" w:rsidRDefault="008D0F25" w:rsidP="008D0F25">
                  <w:pPr>
                    <w:jc w:val="center"/>
                    <w:rPr>
                      <w:rFonts w:ascii="Work Sans" w:hAnsi="Work Sans" w:cs="Arial"/>
                      <w:b/>
                      <w:bCs/>
                      <w:sz w:val="22"/>
                      <w:szCs w:val="22"/>
                    </w:rPr>
                  </w:pPr>
                  <w:r w:rsidRPr="0009691C">
                    <w:rPr>
                      <w:rFonts w:ascii="Work Sans" w:hAnsi="Work Sans" w:cs="Arial"/>
                      <w:b/>
                      <w:bCs/>
                      <w:sz w:val="22"/>
                      <w:szCs w:val="22"/>
                    </w:rPr>
                    <w:t>Disability</w:t>
                  </w:r>
                </w:p>
              </w:tc>
              <w:tc>
                <w:tcPr>
                  <w:tcW w:w="1690" w:type="dxa"/>
                  <w:tcBorders>
                    <w:top w:val="single" w:sz="4" w:space="0" w:color="auto"/>
                    <w:left w:val="nil"/>
                    <w:bottom w:val="single" w:sz="4" w:space="0" w:color="auto"/>
                    <w:right w:val="single" w:sz="4" w:space="0" w:color="auto"/>
                  </w:tcBorders>
                  <w:shd w:val="clear" w:color="000000" w:fill="C0504D"/>
                  <w:vAlign w:val="center"/>
                  <w:hideMark/>
                </w:tcPr>
                <w:p w14:paraId="787BDC03" w14:textId="77777777" w:rsidR="008D0F25" w:rsidRPr="0009691C" w:rsidRDefault="008D0F25" w:rsidP="008D0F25">
                  <w:pPr>
                    <w:jc w:val="center"/>
                    <w:rPr>
                      <w:rFonts w:ascii="Work Sans" w:hAnsi="Work Sans" w:cs="Arial"/>
                      <w:b/>
                      <w:bCs/>
                      <w:sz w:val="22"/>
                      <w:szCs w:val="22"/>
                    </w:rPr>
                  </w:pPr>
                  <w:r w:rsidRPr="0009691C">
                    <w:rPr>
                      <w:rFonts w:ascii="Work Sans" w:hAnsi="Work Sans" w:cs="Arial"/>
                      <w:b/>
                      <w:bCs/>
                      <w:sz w:val="22"/>
                      <w:szCs w:val="22"/>
                    </w:rPr>
                    <w:t>Number of Customers who made a complaint</w:t>
                  </w:r>
                </w:p>
              </w:tc>
              <w:tc>
                <w:tcPr>
                  <w:tcW w:w="2057" w:type="dxa"/>
                  <w:tcBorders>
                    <w:top w:val="single" w:sz="4" w:space="0" w:color="auto"/>
                    <w:left w:val="nil"/>
                    <w:bottom w:val="single" w:sz="4" w:space="0" w:color="auto"/>
                    <w:right w:val="single" w:sz="4" w:space="0" w:color="auto"/>
                  </w:tcBorders>
                  <w:shd w:val="clear" w:color="000000" w:fill="C0504D"/>
                  <w:vAlign w:val="center"/>
                  <w:hideMark/>
                </w:tcPr>
                <w:p w14:paraId="42B4503B" w14:textId="77777777" w:rsidR="008D0F25" w:rsidRPr="0009691C" w:rsidRDefault="008D0F25" w:rsidP="008D0F25">
                  <w:pPr>
                    <w:jc w:val="center"/>
                    <w:rPr>
                      <w:rFonts w:ascii="Work Sans" w:hAnsi="Work Sans" w:cs="Arial"/>
                      <w:b/>
                      <w:bCs/>
                      <w:sz w:val="22"/>
                      <w:szCs w:val="22"/>
                    </w:rPr>
                  </w:pPr>
                  <w:r w:rsidRPr="0009691C">
                    <w:rPr>
                      <w:rFonts w:ascii="Work Sans" w:hAnsi="Work Sans" w:cs="Arial"/>
                      <w:b/>
                      <w:bCs/>
                      <w:sz w:val="22"/>
                      <w:szCs w:val="22"/>
                    </w:rPr>
                    <w:t>% of customers who made a complaint</w:t>
                  </w:r>
                </w:p>
              </w:tc>
              <w:tc>
                <w:tcPr>
                  <w:tcW w:w="2392" w:type="dxa"/>
                  <w:tcBorders>
                    <w:top w:val="single" w:sz="4" w:space="0" w:color="auto"/>
                    <w:left w:val="nil"/>
                    <w:bottom w:val="single" w:sz="4" w:space="0" w:color="auto"/>
                    <w:right w:val="single" w:sz="4" w:space="0" w:color="auto"/>
                  </w:tcBorders>
                  <w:shd w:val="clear" w:color="000000" w:fill="C0504D"/>
                  <w:noWrap/>
                  <w:vAlign w:val="center"/>
                  <w:hideMark/>
                </w:tcPr>
                <w:p w14:paraId="1A76CC11" w14:textId="77777777" w:rsidR="008D0F25" w:rsidRPr="0009691C" w:rsidRDefault="008D0F25" w:rsidP="008D0F25">
                  <w:pPr>
                    <w:jc w:val="center"/>
                    <w:rPr>
                      <w:rFonts w:ascii="Work Sans" w:hAnsi="Work Sans" w:cs="Arial"/>
                      <w:b/>
                      <w:bCs/>
                      <w:sz w:val="22"/>
                      <w:szCs w:val="22"/>
                    </w:rPr>
                  </w:pPr>
                  <w:r w:rsidRPr="0009691C">
                    <w:rPr>
                      <w:rFonts w:ascii="Work Sans" w:hAnsi="Work Sans" w:cs="Arial"/>
                      <w:b/>
                      <w:bCs/>
                      <w:sz w:val="22"/>
                      <w:szCs w:val="22"/>
                    </w:rPr>
                    <w:t>% of all SYHA Tenants</w:t>
                  </w:r>
                </w:p>
              </w:tc>
            </w:tr>
            <w:tr w:rsidR="008D0F25" w:rsidRPr="0009691C" w14:paraId="2B7EDE53" w14:textId="77777777" w:rsidTr="005A4D4B">
              <w:trPr>
                <w:trHeight w:val="340"/>
              </w:trPr>
              <w:tc>
                <w:tcPr>
                  <w:tcW w:w="3732" w:type="dxa"/>
                  <w:tcBorders>
                    <w:top w:val="nil"/>
                    <w:left w:val="single" w:sz="4" w:space="0" w:color="auto"/>
                    <w:bottom w:val="single" w:sz="4" w:space="0" w:color="auto"/>
                    <w:right w:val="single" w:sz="4" w:space="0" w:color="auto"/>
                  </w:tcBorders>
                  <w:noWrap/>
                  <w:vAlign w:val="bottom"/>
                  <w:hideMark/>
                </w:tcPr>
                <w:p w14:paraId="62988B17" w14:textId="77777777" w:rsidR="008D0F25" w:rsidRPr="0009691C" w:rsidRDefault="008D0F25" w:rsidP="008D0F25">
                  <w:pPr>
                    <w:rPr>
                      <w:rFonts w:ascii="Work Sans" w:hAnsi="Work Sans" w:cs="Arial"/>
                      <w:sz w:val="22"/>
                      <w:szCs w:val="22"/>
                    </w:rPr>
                  </w:pPr>
                  <w:r w:rsidRPr="0009691C">
                    <w:rPr>
                      <w:rFonts w:ascii="Work Sans" w:hAnsi="Work Sans" w:cs="Arial"/>
                      <w:sz w:val="22"/>
                      <w:szCs w:val="22"/>
                    </w:rPr>
                    <w:t>Disabled</w:t>
                  </w:r>
                </w:p>
              </w:tc>
              <w:tc>
                <w:tcPr>
                  <w:tcW w:w="1690" w:type="dxa"/>
                  <w:tcBorders>
                    <w:top w:val="nil"/>
                    <w:left w:val="nil"/>
                    <w:bottom w:val="single" w:sz="4" w:space="0" w:color="auto"/>
                    <w:right w:val="single" w:sz="4" w:space="0" w:color="auto"/>
                  </w:tcBorders>
                  <w:noWrap/>
                  <w:vAlign w:val="bottom"/>
                  <w:hideMark/>
                </w:tcPr>
                <w:p w14:paraId="111CCF2B"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90</w:t>
                  </w:r>
                </w:p>
              </w:tc>
              <w:tc>
                <w:tcPr>
                  <w:tcW w:w="2057" w:type="dxa"/>
                  <w:tcBorders>
                    <w:top w:val="nil"/>
                    <w:left w:val="nil"/>
                    <w:bottom w:val="single" w:sz="4" w:space="0" w:color="auto"/>
                    <w:right w:val="single" w:sz="4" w:space="0" w:color="auto"/>
                  </w:tcBorders>
                  <w:noWrap/>
                  <w:vAlign w:val="bottom"/>
                  <w:hideMark/>
                </w:tcPr>
                <w:p w14:paraId="194467FC"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28.04%</w:t>
                  </w:r>
                </w:p>
              </w:tc>
              <w:tc>
                <w:tcPr>
                  <w:tcW w:w="2392" w:type="dxa"/>
                  <w:tcBorders>
                    <w:top w:val="nil"/>
                    <w:left w:val="nil"/>
                    <w:bottom w:val="single" w:sz="4" w:space="0" w:color="auto"/>
                    <w:right w:val="single" w:sz="4" w:space="0" w:color="auto"/>
                  </w:tcBorders>
                  <w:noWrap/>
                  <w:vAlign w:val="bottom"/>
                  <w:hideMark/>
                </w:tcPr>
                <w:p w14:paraId="7055ED56"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11.08%</w:t>
                  </w:r>
                </w:p>
              </w:tc>
            </w:tr>
            <w:tr w:rsidR="008D0F25" w:rsidRPr="0009691C" w14:paraId="40D72986" w14:textId="77777777" w:rsidTr="005A4D4B">
              <w:trPr>
                <w:trHeight w:val="340"/>
              </w:trPr>
              <w:tc>
                <w:tcPr>
                  <w:tcW w:w="3732" w:type="dxa"/>
                  <w:tcBorders>
                    <w:top w:val="nil"/>
                    <w:left w:val="single" w:sz="4" w:space="0" w:color="auto"/>
                    <w:bottom w:val="single" w:sz="4" w:space="0" w:color="auto"/>
                    <w:right w:val="single" w:sz="4" w:space="0" w:color="auto"/>
                  </w:tcBorders>
                  <w:noWrap/>
                  <w:vAlign w:val="bottom"/>
                  <w:hideMark/>
                </w:tcPr>
                <w:p w14:paraId="3D23E726" w14:textId="77777777" w:rsidR="008D0F25" w:rsidRPr="0009691C" w:rsidRDefault="008D0F25" w:rsidP="008D0F25">
                  <w:pPr>
                    <w:rPr>
                      <w:rFonts w:ascii="Work Sans" w:hAnsi="Work Sans" w:cs="Arial"/>
                      <w:sz w:val="22"/>
                      <w:szCs w:val="22"/>
                    </w:rPr>
                  </w:pPr>
                  <w:r w:rsidRPr="0009691C">
                    <w:rPr>
                      <w:rFonts w:ascii="Work Sans" w:hAnsi="Work Sans" w:cs="Arial"/>
                      <w:sz w:val="22"/>
                      <w:szCs w:val="22"/>
                    </w:rPr>
                    <w:t>Not Disabled</w:t>
                  </w:r>
                </w:p>
              </w:tc>
              <w:tc>
                <w:tcPr>
                  <w:tcW w:w="1690" w:type="dxa"/>
                  <w:tcBorders>
                    <w:top w:val="nil"/>
                    <w:left w:val="nil"/>
                    <w:bottom w:val="single" w:sz="4" w:space="0" w:color="auto"/>
                    <w:right w:val="single" w:sz="4" w:space="0" w:color="auto"/>
                  </w:tcBorders>
                  <w:noWrap/>
                  <w:vAlign w:val="bottom"/>
                  <w:hideMark/>
                </w:tcPr>
                <w:p w14:paraId="25678435"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12</w:t>
                  </w:r>
                </w:p>
              </w:tc>
              <w:tc>
                <w:tcPr>
                  <w:tcW w:w="2057" w:type="dxa"/>
                  <w:tcBorders>
                    <w:top w:val="nil"/>
                    <w:left w:val="nil"/>
                    <w:bottom w:val="single" w:sz="4" w:space="0" w:color="auto"/>
                    <w:right w:val="single" w:sz="4" w:space="0" w:color="auto"/>
                  </w:tcBorders>
                  <w:noWrap/>
                  <w:vAlign w:val="bottom"/>
                  <w:hideMark/>
                </w:tcPr>
                <w:p w14:paraId="0F47B235"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3.74%</w:t>
                  </w:r>
                </w:p>
              </w:tc>
              <w:tc>
                <w:tcPr>
                  <w:tcW w:w="2392" w:type="dxa"/>
                  <w:tcBorders>
                    <w:top w:val="nil"/>
                    <w:left w:val="nil"/>
                    <w:bottom w:val="single" w:sz="4" w:space="0" w:color="auto"/>
                    <w:right w:val="single" w:sz="4" w:space="0" w:color="auto"/>
                  </w:tcBorders>
                  <w:noWrap/>
                  <w:vAlign w:val="bottom"/>
                  <w:hideMark/>
                </w:tcPr>
                <w:p w14:paraId="4C8C63A2"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3.54%</w:t>
                  </w:r>
                </w:p>
              </w:tc>
            </w:tr>
            <w:tr w:rsidR="008D0F25" w:rsidRPr="0009691C" w14:paraId="3443139A" w14:textId="77777777" w:rsidTr="005A4D4B">
              <w:trPr>
                <w:trHeight w:val="340"/>
              </w:trPr>
              <w:tc>
                <w:tcPr>
                  <w:tcW w:w="3732" w:type="dxa"/>
                  <w:tcBorders>
                    <w:top w:val="nil"/>
                    <w:left w:val="single" w:sz="4" w:space="0" w:color="auto"/>
                    <w:bottom w:val="single" w:sz="4" w:space="0" w:color="auto"/>
                    <w:right w:val="single" w:sz="4" w:space="0" w:color="auto"/>
                  </w:tcBorders>
                  <w:noWrap/>
                  <w:vAlign w:val="bottom"/>
                  <w:hideMark/>
                </w:tcPr>
                <w:p w14:paraId="1960D432" w14:textId="77777777" w:rsidR="008D0F25" w:rsidRPr="0009691C" w:rsidRDefault="008D0F25" w:rsidP="008D0F25">
                  <w:pPr>
                    <w:rPr>
                      <w:rFonts w:ascii="Work Sans" w:hAnsi="Work Sans" w:cs="Arial"/>
                      <w:sz w:val="22"/>
                      <w:szCs w:val="22"/>
                    </w:rPr>
                  </w:pPr>
                  <w:r w:rsidRPr="0009691C">
                    <w:rPr>
                      <w:rFonts w:ascii="Work Sans" w:hAnsi="Work Sans" w:cs="Arial"/>
                      <w:sz w:val="22"/>
                      <w:szCs w:val="22"/>
                    </w:rPr>
                    <w:t>Unknown</w:t>
                  </w:r>
                </w:p>
              </w:tc>
              <w:tc>
                <w:tcPr>
                  <w:tcW w:w="1690" w:type="dxa"/>
                  <w:tcBorders>
                    <w:top w:val="nil"/>
                    <w:left w:val="nil"/>
                    <w:bottom w:val="single" w:sz="4" w:space="0" w:color="auto"/>
                    <w:right w:val="single" w:sz="4" w:space="0" w:color="auto"/>
                  </w:tcBorders>
                  <w:noWrap/>
                  <w:vAlign w:val="bottom"/>
                  <w:hideMark/>
                </w:tcPr>
                <w:p w14:paraId="32B945D3"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219</w:t>
                  </w:r>
                </w:p>
              </w:tc>
              <w:tc>
                <w:tcPr>
                  <w:tcW w:w="2057" w:type="dxa"/>
                  <w:tcBorders>
                    <w:top w:val="nil"/>
                    <w:left w:val="nil"/>
                    <w:bottom w:val="single" w:sz="4" w:space="0" w:color="auto"/>
                    <w:right w:val="single" w:sz="4" w:space="0" w:color="auto"/>
                  </w:tcBorders>
                  <w:noWrap/>
                  <w:vAlign w:val="bottom"/>
                  <w:hideMark/>
                </w:tcPr>
                <w:p w14:paraId="08B88A52"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68.22%</w:t>
                  </w:r>
                </w:p>
              </w:tc>
              <w:tc>
                <w:tcPr>
                  <w:tcW w:w="2392" w:type="dxa"/>
                  <w:tcBorders>
                    <w:top w:val="nil"/>
                    <w:left w:val="nil"/>
                    <w:bottom w:val="single" w:sz="4" w:space="0" w:color="auto"/>
                    <w:right w:val="single" w:sz="4" w:space="0" w:color="auto"/>
                  </w:tcBorders>
                  <w:noWrap/>
                  <w:vAlign w:val="bottom"/>
                  <w:hideMark/>
                </w:tcPr>
                <w:p w14:paraId="2A9F1706" w14:textId="77777777" w:rsidR="008D0F25" w:rsidRPr="0009691C" w:rsidRDefault="008D0F25" w:rsidP="008D0F25">
                  <w:pPr>
                    <w:jc w:val="right"/>
                    <w:rPr>
                      <w:rFonts w:ascii="Work Sans" w:hAnsi="Work Sans" w:cs="Arial"/>
                      <w:sz w:val="22"/>
                      <w:szCs w:val="22"/>
                    </w:rPr>
                  </w:pPr>
                  <w:r w:rsidRPr="0009691C">
                    <w:rPr>
                      <w:rFonts w:ascii="Work Sans" w:hAnsi="Work Sans" w:cs="Arial"/>
                      <w:sz w:val="22"/>
                      <w:szCs w:val="22"/>
                    </w:rPr>
                    <w:t>85.38%</w:t>
                  </w:r>
                </w:p>
              </w:tc>
            </w:tr>
          </w:tbl>
          <w:p w14:paraId="74CA6B30" w14:textId="77777777" w:rsidR="00606428" w:rsidRDefault="00606428" w:rsidP="001B119F">
            <w:pPr>
              <w:pStyle w:val="ListParagraph"/>
              <w:spacing w:before="60" w:after="120"/>
              <w:ind w:left="794"/>
              <w:jc w:val="both"/>
              <w:rPr>
                <w:rFonts w:ascii="Work Sans" w:eastAsia="Work Sans" w:hAnsi="Work Sans" w:cs="Work Sans"/>
                <w:b/>
                <w:bCs/>
                <w:noProof/>
              </w:rPr>
            </w:pPr>
          </w:p>
          <w:p w14:paraId="6FF361F8" w14:textId="77777777" w:rsidR="001B119F" w:rsidRPr="0009691C" w:rsidRDefault="001B119F" w:rsidP="001B119F">
            <w:pPr>
              <w:pStyle w:val="ListParagraph"/>
              <w:spacing w:before="60" w:after="120"/>
              <w:ind w:left="794"/>
              <w:jc w:val="both"/>
              <w:rPr>
                <w:rFonts w:ascii="Work Sans" w:eastAsia="Work Sans" w:hAnsi="Work Sans" w:cs="Work Sans"/>
                <w:b/>
                <w:bCs/>
                <w:noProof/>
              </w:rPr>
            </w:pPr>
            <w:r w:rsidRPr="0009691C">
              <w:rPr>
                <w:rFonts w:ascii="Work Sans" w:eastAsia="Work Sans" w:hAnsi="Work Sans" w:cs="Work Sans"/>
                <w:b/>
                <w:bCs/>
                <w:noProof/>
              </w:rPr>
              <w:t>Age</w:t>
            </w:r>
          </w:p>
          <w:p w14:paraId="633BDED1" w14:textId="531D0554" w:rsidR="00E10BAD" w:rsidRPr="0009691C" w:rsidRDefault="001B119F" w:rsidP="0019179A">
            <w:pPr>
              <w:pStyle w:val="ListParagraph"/>
              <w:numPr>
                <w:ilvl w:val="1"/>
                <w:numId w:val="1"/>
              </w:numPr>
              <w:spacing w:before="60" w:after="120"/>
              <w:ind w:left="794" w:hanging="794"/>
              <w:jc w:val="both"/>
              <w:rPr>
                <w:rFonts w:ascii="Work Sans" w:eastAsia="Work Sans" w:hAnsi="Work Sans" w:cs="Work Sans"/>
                <w:noProof/>
              </w:rPr>
            </w:pPr>
            <w:r w:rsidRPr="0009691C">
              <w:rPr>
                <w:rFonts w:ascii="Work Sans" w:eastAsia="Work Sans" w:hAnsi="Work Sans" w:cs="Work Sans"/>
                <w:noProof/>
              </w:rPr>
              <w:t xml:space="preserve">When looking at the age data, </w:t>
            </w:r>
            <w:r w:rsidR="00E10BAD" w:rsidRPr="0009691C">
              <w:rPr>
                <w:rFonts w:ascii="Work Sans" w:eastAsia="Work Sans" w:hAnsi="Work Sans" w:cs="Work Sans"/>
                <w:noProof/>
              </w:rPr>
              <w:t>Customers aged 35–44 and 45–54 account for a higher proportion of complaints than their representation within the tenant population, indicating over</w:t>
            </w:r>
            <w:r w:rsidR="00E10BAD" w:rsidRPr="0009691C">
              <w:rPr>
                <w:rFonts w:ascii="Cambria Math" w:eastAsia="Work Sans" w:hAnsi="Cambria Math" w:cs="Cambria Math"/>
                <w:noProof/>
              </w:rPr>
              <w:t>‑</w:t>
            </w:r>
            <w:r w:rsidR="00E10BAD" w:rsidRPr="0009691C">
              <w:rPr>
                <w:rFonts w:ascii="Work Sans" w:eastAsia="Work Sans" w:hAnsi="Work Sans" w:cs="Work Sans"/>
                <w:noProof/>
              </w:rPr>
              <w:t>representation among complainants. Customers aged 55–64 and 65 and over are under</w:t>
            </w:r>
            <w:r w:rsidR="00E10BAD" w:rsidRPr="0009691C">
              <w:rPr>
                <w:rFonts w:ascii="Cambria Math" w:eastAsia="Work Sans" w:hAnsi="Cambria Math" w:cs="Cambria Math"/>
                <w:noProof/>
              </w:rPr>
              <w:t>‑</w:t>
            </w:r>
            <w:r w:rsidR="00E10BAD" w:rsidRPr="0009691C">
              <w:rPr>
                <w:rFonts w:ascii="Work Sans" w:eastAsia="Work Sans" w:hAnsi="Work Sans" w:cs="Work Sans"/>
                <w:noProof/>
              </w:rPr>
              <w:t>represented in complaints relative to their share of tenants. Complaints from customers aged 16–24 and 25–34 are broadly proportionate to their population size</w:t>
            </w:r>
          </w:p>
          <w:tbl>
            <w:tblPr>
              <w:tblW w:w="9842" w:type="dxa"/>
              <w:tblLook w:val="04A0" w:firstRow="1" w:lastRow="0" w:firstColumn="1" w:lastColumn="0" w:noHBand="0" w:noVBand="1"/>
            </w:tblPr>
            <w:tblGrid>
              <w:gridCol w:w="3152"/>
              <w:gridCol w:w="2254"/>
              <w:gridCol w:w="2051"/>
              <w:gridCol w:w="2385"/>
            </w:tblGrid>
            <w:tr w:rsidR="00164649" w:rsidRPr="0009691C" w14:paraId="1E517331" w14:textId="77777777" w:rsidTr="00722662">
              <w:trPr>
                <w:trHeight w:val="1307"/>
              </w:trPr>
              <w:tc>
                <w:tcPr>
                  <w:tcW w:w="3152"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633DF2C8" w14:textId="77777777" w:rsidR="00164649" w:rsidRPr="0009691C" w:rsidRDefault="00164649" w:rsidP="00164649">
                  <w:pPr>
                    <w:jc w:val="center"/>
                    <w:rPr>
                      <w:rFonts w:ascii="Work Sans" w:hAnsi="Work Sans" w:cs="Arial"/>
                      <w:b/>
                      <w:bCs/>
                      <w:sz w:val="22"/>
                      <w:szCs w:val="22"/>
                    </w:rPr>
                  </w:pPr>
                  <w:r w:rsidRPr="0009691C">
                    <w:rPr>
                      <w:rFonts w:ascii="Work Sans" w:hAnsi="Work Sans" w:cs="Arial"/>
                      <w:b/>
                      <w:bCs/>
                      <w:sz w:val="22"/>
                      <w:szCs w:val="22"/>
                    </w:rPr>
                    <w:t>Age Band</w:t>
                  </w:r>
                </w:p>
              </w:tc>
              <w:tc>
                <w:tcPr>
                  <w:tcW w:w="2254" w:type="dxa"/>
                  <w:tcBorders>
                    <w:top w:val="single" w:sz="4" w:space="0" w:color="auto"/>
                    <w:left w:val="nil"/>
                    <w:bottom w:val="single" w:sz="4" w:space="0" w:color="auto"/>
                    <w:right w:val="single" w:sz="4" w:space="0" w:color="auto"/>
                  </w:tcBorders>
                  <w:shd w:val="clear" w:color="000000" w:fill="DA9694"/>
                  <w:vAlign w:val="center"/>
                  <w:hideMark/>
                </w:tcPr>
                <w:p w14:paraId="5A97DA77" w14:textId="77777777" w:rsidR="00164649" w:rsidRPr="0009691C" w:rsidRDefault="00164649" w:rsidP="00164649">
                  <w:pPr>
                    <w:jc w:val="center"/>
                    <w:rPr>
                      <w:rFonts w:ascii="Work Sans" w:hAnsi="Work Sans" w:cs="Arial"/>
                      <w:b/>
                      <w:bCs/>
                      <w:sz w:val="22"/>
                      <w:szCs w:val="22"/>
                    </w:rPr>
                  </w:pPr>
                  <w:r w:rsidRPr="0009691C">
                    <w:rPr>
                      <w:rFonts w:ascii="Work Sans" w:hAnsi="Work Sans" w:cs="Arial"/>
                      <w:b/>
                      <w:bCs/>
                      <w:sz w:val="22"/>
                      <w:szCs w:val="22"/>
                    </w:rPr>
                    <w:t>Number of Customers who made a complaint</w:t>
                  </w:r>
                </w:p>
              </w:tc>
              <w:tc>
                <w:tcPr>
                  <w:tcW w:w="2051" w:type="dxa"/>
                  <w:tcBorders>
                    <w:top w:val="single" w:sz="4" w:space="0" w:color="auto"/>
                    <w:left w:val="nil"/>
                    <w:bottom w:val="single" w:sz="4" w:space="0" w:color="auto"/>
                    <w:right w:val="single" w:sz="4" w:space="0" w:color="auto"/>
                  </w:tcBorders>
                  <w:shd w:val="clear" w:color="000000" w:fill="DA9694"/>
                  <w:vAlign w:val="center"/>
                  <w:hideMark/>
                </w:tcPr>
                <w:p w14:paraId="0EA4F215" w14:textId="77777777" w:rsidR="00164649" w:rsidRPr="0009691C" w:rsidRDefault="00164649" w:rsidP="00164649">
                  <w:pPr>
                    <w:jc w:val="center"/>
                    <w:rPr>
                      <w:rFonts w:ascii="Work Sans" w:hAnsi="Work Sans" w:cs="Arial"/>
                      <w:b/>
                      <w:bCs/>
                      <w:sz w:val="22"/>
                      <w:szCs w:val="22"/>
                    </w:rPr>
                  </w:pPr>
                  <w:r w:rsidRPr="0009691C">
                    <w:rPr>
                      <w:rFonts w:ascii="Work Sans" w:hAnsi="Work Sans" w:cs="Arial"/>
                      <w:b/>
                      <w:bCs/>
                      <w:sz w:val="22"/>
                      <w:szCs w:val="22"/>
                    </w:rPr>
                    <w:t>% of customers who made a complaint</w:t>
                  </w:r>
                </w:p>
              </w:tc>
              <w:tc>
                <w:tcPr>
                  <w:tcW w:w="2385" w:type="dxa"/>
                  <w:tcBorders>
                    <w:top w:val="single" w:sz="4" w:space="0" w:color="auto"/>
                    <w:left w:val="nil"/>
                    <w:bottom w:val="single" w:sz="4" w:space="0" w:color="auto"/>
                    <w:right w:val="single" w:sz="4" w:space="0" w:color="auto"/>
                  </w:tcBorders>
                  <w:shd w:val="clear" w:color="000000" w:fill="DA9694"/>
                  <w:noWrap/>
                  <w:vAlign w:val="center"/>
                  <w:hideMark/>
                </w:tcPr>
                <w:p w14:paraId="68E7C3DA" w14:textId="77777777" w:rsidR="00164649" w:rsidRPr="0009691C" w:rsidRDefault="00164649" w:rsidP="00164649">
                  <w:pPr>
                    <w:jc w:val="center"/>
                    <w:rPr>
                      <w:rFonts w:ascii="Work Sans" w:hAnsi="Work Sans" w:cs="Arial"/>
                      <w:b/>
                      <w:bCs/>
                      <w:sz w:val="22"/>
                      <w:szCs w:val="22"/>
                    </w:rPr>
                  </w:pPr>
                  <w:r w:rsidRPr="0009691C">
                    <w:rPr>
                      <w:rFonts w:ascii="Work Sans" w:hAnsi="Work Sans" w:cs="Arial"/>
                      <w:b/>
                      <w:bCs/>
                      <w:sz w:val="22"/>
                      <w:szCs w:val="22"/>
                    </w:rPr>
                    <w:t>% of all SYHA Tenants</w:t>
                  </w:r>
                </w:p>
              </w:tc>
            </w:tr>
            <w:tr w:rsidR="00164649" w:rsidRPr="0009691C" w14:paraId="68D1876D"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35BCCEFB"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&lt;16</w:t>
                  </w:r>
                </w:p>
              </w:tc>
              <w:tc>
                <w:tcPr>
                  <w:tcW w:w="2254" w:type="dxa"/>
                  <w:tcBorders>
                    <w:top w:val="nil"/>
                    <w:left w:val="nil"/>
                    <w:bottom w:val="single" w:sz="4" w:space="0" w:color="auto"/>
                    <w:right w:val="single" w:sz="4" w:space="0" w:color="auto"/>
                  </w:tcBorders>
                  <w:noWrap/>
                  <w:vAlign w:val="bottom"/>
                  <w:hideMark/>
                </w:tcPr>
                <w:p w14:paraId="275D4528"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0</w:t>
                  </w:r>
                </w:p>
              </w:tc>
              <w:tc>
                <w:tcPr>
                  <w:tcW w:w="2051" w:type="dxa"/>
                  <w:tcBorders>
                    <w:top w:val="nil"/>
                    <w:left w:val="nil"/>
                    <w:bottom w:val="single" w:sz="4" w:space="0" w:color="auto"/>
                    <w:right w:val="single" w:sz="4" w:space="0" w:color="auto"/>
                  </w:tcBorders>
                  <w:noWrap/>
                  <w:vAlign w:val="bottom"/>
                  <w:hideMark/>
                </w:tcPr>
                <w:p w14:paraId="4032DE6E"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0.00%</w:t>
                  </w:r>
                </w:p>
              </w:tc>
              <w:tc>
                <w:tcPr>
                  <w:tcW w:w="2385" w:type="dxa"/>
                  <w:tcBorders>
                    <w:top w:val="nil"/>
                    <w:left w:val="nil"/>
                    <w:bottom w:val="single" w:sz="4" w:space="0" w:color="auto"/>
                    <w:right w:val="single" w:sz="4" w:space="0" w:color="auto"/>
                  </w:tcBorders>
                  <w:noWrap/>
                  <w:vAlign w:val="bottom"/>
                  <w:hideMark/>
                </w:tcPr>
                <w:p w14:paraId="7A8C0610"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0.13%</w:t>
                  </w:r>
                </w:p>
              </w:tc>
            </w:tr>
            <w:tr w:rsidR="00164649" w:rsidRPr="0009691C" w14:paraId="7251E74B"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494544ED"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16-24</w:t>
                  </w:r>
                </w:p>
              </w:tc>
              <w:tc>
                <w:tcPr>
                  <w:tcW w:w="2254" w:type="dxa"/>
                  <w:tcBorders>
                    <w:top w:val="nil"/>
                    <w:left w:val="nil"/>
                    <w:bottom w:val="single" w:sz="4" w:space="0" w:color="auto"/>
                    <w:right w:val="single" w:sz="4" w:space="0" w:color="auto"/>
                  </w:tcBorders>
                  <w:noWrap/>
                  <w:vAlign w:val="bottom"/>
                  <w:hideMark/>
                </w:tcPr>
                <w:p w14:paraId="01721A42"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6</w:t>
                  </w:r>
                </w:p>
              </w:tc>
              <w:tc>
                <w:tcPr>
                  <w:tcW w:w="2051" w:type="dxa"/>
                  <w:tcBorders>
                    <w:top w:val="nil"/>
                    <w:left w:val="nil"/>
                    <w:bottom w:val="single" w:sz="4" w:space="0" w:color="auto"/>
                    <w:right w:val="single" w:sz="4" w:space="0" w:color="auto"/>
                  </w:tcBorders>
                  <w:noWrap/>
                  <w:vAlign w:val="bottom"/>
                  <w:hideMark/>
                </w:tcPr>
                <w:p w14:paraId="11660782"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1.87%</w:t>
                  </w:r>
                </w:p>
              </w:tc>
              <w:tc>
                <w:tcPr>
                  <w:tcW w:w="2385" w:type="dxa"/>
                  <w:tcBorders>
                    <w:top w:val="nil"/>
                    <w:left w:val="nil"/>
                    <w:bottom w:val="single" w:sz="4" w:space="0" w:color="auto"/>
                    <w:right w:val="single" w:sz="4" w:space="0" w:color="auto"/>
                  </w:tcBorders>
                  <w:noWrap/>
                  <w:vAlign w:val="bottom"/>
                  <w:hideMark/>
                </w:tcPr>
                <w:p w14:paraId="123ABC2E"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1.61%</w:t>
                  </w:r>
                </w:p>
              </w:tc>
            </w:tr>
            <w:tr w:rsidR="00164649" w:rsidRPr="0009691C" w14:paraId="1D99762A"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4B2321BE"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25-34</w:t>
                  </w:r>
                </w:p>
              </w:tc>
              <w:tc>
                <w:tcPr>
                  <w:tcW w:w="2254" w:type="dxa"/>
                  <w:tcBorders>
                    <w:top w:val="nil"/>
                    <w:left w:val="nil"/>
                    <w:bottom w:val="single" w:sz="4" w:space="0" w:color="auto"/>
                    <w:right w:val="single" w:sz="4" w:space="0" w:color="auto"/>
                  </w:tcBorders>
                  <w:noWrap/>
                  <w:vAlign w:val="bottom"/>
                  <w:hideMark/>
                </w:tcPr>
                <w:p w14:paraId="1DD25110"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41</w:t>
                  </w:r>
                </w:p>
              </w:tc>
              <w:tc>
                <w:tcPr>
                  <w:tcW w:w="2051" w:type="dxa"/>
                  <w:tcBorders>
                    <w:top w:val="nil"/>
                    <w:left w:val="nil"/>
                    <w:bottom w:val="single" w:sz="4" w:space="0" w:color="auto"/>
                    <w:right w:val="single" w:sz="4" w:space="0" w:color="auto"/>
                  </w:tcBorders>
                  <w:noWrap/>
                  <w:vAlign w:val="bottom"/>
                  <w:hideMark/>
                </w:tcPr>
                <w:p w14:paraId="287CA0E4"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12.77%</w:t>
                  </w:r>
                </w:p>
              </w:tc>
              <w:tc>
                <w:tcPr>
                  <w:tcW w:w="2385" w:type="dxa"/>
                  <w:tcBorders>
                    <w:top w:val="nil"/>
                    <w:left w:val="nil"/>
                    <w:bottom w:val="single" w:sz="4" w:space="0" w:color="auto"/>
                    <w:right w:val="single" w:sz="4" w:space="0" w:color="auto"/>
                  </w:tcBorders>
                  <w:noWrap/>
                  <w:vAlign w:val="bottom"/>
                  <w:hideMark/>
                </w:tcPr>
                <w:p w14:paraId="503508A5"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11.57%</w:t>
                  </w:r>
                </w:p>
              </w:tc>
            </w:tr>
            <w:tr w:rsidR="00164649" w:rsidRPr="0009691C" w14:paraId="2F54D32E"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2356E308"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35-44</w:t>
                  </w:r>
                </w:p>
              </w:tc>
              <w:tc>
                <w:tcPr>
                  <w:tcW w:w="2254" w:type="dxa"/>
                  <w:tcBorders>
                    <w:top w:val="nil"/>
                    <w:left w:val="nil"/>
                    <w:bottom w:val="single" w:sz="4" w:space="0" w:color="auto"/>
                    <w:right w:val="single" w:sz="4" w:space="0" w:color="auto"/>
                  </w:tcBorders>
                  <w:noWrap/>
                  <w:vAlign w:val="bottom"/>
                  <w:hideMark/>
                </w:tcPr>
                <w:p w14:paraId="57505F1B"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86</w:t>
                  </w:r>
                </w:p>
              </w:tc>
              <w:tc>
                <w:tcPr>
                  <w:tcW w:w="2051" w:type="dxa"/>
                  <w:tcBorders>
                    <w:top w:val="nil"/>
                    <w:left w:val="nil"/>
                    <w:bottom w:val="single" w:sz="4" w:space="0" w:color="auto"/>
                    <w:right w:val="single" w:sz="4" w:space="0" w:color="auto"/>
                  </w:tcBorders>
                  <w:noWrap/>
                  <w:vAlign w:val="bottom"/>
                  <w:hideMark/>
                </w:tcPr>
                <w:p w14:paraId="415D674D"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26.79%</w:t>
                  </w:r>
                </w:p>
              </w:tc>
              <w:tc>
                <w:tcPr>
                  <w:tcW w:w="2385" w:type="dxa"/>
                  <w:tcBorders>
                    <w:top w:val="nil"/>
                    <w:left w:val="nil"/>
                    <w:bottom w:val="single" w:sz="4" w:space="0" w:color="auto"/>
                    <w:right w:val="single" w:sz="4" w:space="0" w:color="auto"/>
                  </w:tcBorders>
                  <w:noWrap/>
                  <w:vAlign w:val="bottom"/>
                  <w:hideMark/>
                </w:tcPr>
                <w:p w14:paraId="3750BC4E"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18.83%</w:t>
                  </w:r>
                </w:p>
              </w:tc>
            </w:tr>
            <w:tr w:rsidR="00164649" w:rsidRPr="0009691C" w14:paraId="2BCAD469"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64365331"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45-54</w:t>
                  </w:r>
                </w:p>
              </w:tc>
              <w:tc>
                <w:tcPr>
                  <w:tcW w:w="2254" w:type="dxa"/>
                  <w:tcBorders>
                    <w:top w:val="nil"/>
                    <w:left w:val="nil"/>
                    <w:bottom w:val="single" w:sz="4" w:space="0" w:color="auto"/>
                    <w:right w:val="single" w:sz="4" w:space="0" w:color="auto"/>
                  </w:tcBorders>
                  <w:noWrap/>
                  <w:vAlign w:val="bottom"/>
                  <w:hideMark/>
                </w:tcPr>
                <w:p w14:paraId="13226395"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66</w:t>
                  </w:r>
                </w:p>
              </w:tc>
              <w:tc>
                <w:tcPr>
                  <w:tcW w:w="2051" w:type="dxa"/>
                  <w:tcBorders>
                    <w:top w:val="nil"/>
                    <w:left w:val="nil"/>
                    <w:bottom w:val="single" w:sz="4" w:space="0" w:color="auto"/>
                    <w:right w:val="single" w:sz="4" w:space="0" w:color="auto"/>
                  </w:tcBorders>
                  <w:noWrap/>
                  <w:vAlign w:val="bottom"/>
                  <w:hideMark/>
                </w:tcPr>
                <w:p w14:paraId="29530A5F"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20.56%</w:t>
                  </w:r>
                </w:p>
              </w:tc>
              <w:tc>
                <w:tcPr>
                  <w:tcW w:w="2385" w:type="dxa"/>
                  <w:tcBorders>
                    <w:top w:val="nil"/>
                    <w:left w:val="nil"/>
                    <w:bottom w:val="single" w:sz="4" w:space="0" w:color="auto"/>
                    <w:right w:val="single" w:sz="4" w:space="0" w:color="auto"/>
                  </w:tcBorders>
                  <w:noWrap/>
                  <w:vAlign w:val="bottom"/>
                  <w:hideMark/>
                </w:tcPr>
                <w:p w14:paraId="71C19DAC"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17.42%</w:t>
                  </w:r>
                </w:p>
              </w:tc>
            </w:tr>
            <w:tr w:rsidR="00164649" w:rsidRPr="0009691C" w14:paraId="10B280A9" w14:textId="77777777" w:rsidTr="00722662">
              <w:trPr>
                <w:trHeight w:val="398"/>
              </w:trPr>
              <w:tc>
                <w:tcPr>
                  <w:tcW w:w="3152" w:type="dxa"/>
                  <w:tcBorders>
                    <w:top w:val="nil"/>
                    <w:left w:val="single" w:sz="4" w:space="0" w:color="auto"/>
                    <w:bottom w:val="single" w:sz="4" w:space="0" w:color="auto"/>
                    <w:right w:val="single" w:sz="4" w:space="0" w:color="auto"/>
                  </w:tcBorders>
                  <w:noWrap/>
                  <w:vAlign w:val="bottom"/>
                  <w:hideMark/>
                </w:tcPr>
                <w:p w14:paraId="1F437C9D"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55-64</w:t>
                  </w:r>
                </w:p>
              </w:tc>
              <w:tc>
                <w:tcPr>
                  <w:tcW w:w="2254" w:type="dxa"/>
                  <w:tcBorders>
                    <w:top w:val="nil"/>
                    <w:left w:val="nil"/>
                    <w:bottom w:val="single" w:sz="4" w:space="0" w:color="auto"/>
                    <w:right w:val="single" w:sz="4" w:space="0" w:color="auto"/>
                  </w:tcBorders>
                  <w:noWrap/>
                  <w:vAlign w:val="bottom"/>
                  <w:hideMark/>
                </w:tcPr>
                <w:p w14:paraId="7B105CE9"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58</w:t>
                  </w:r>
                </w:p>
              </w:tc>
              <w:tc>
                <w:tcPr>
                  <w:tcW w:w="2051" w:type="dxa"/>
                  <w:tcBorders>
                    <w:top w:val="nil"/>
                    <w:left w:val="nil"/>
                    <w:bottom w:val="single" w:sz="4" w:space="0" w:color="auto"/>
                    <w:right w:val="single" w:sz="4" w:space="0" w:color="auto"/>
                  </w:tcBorders>
                  <w:noWrap/>
                  <w:vAlign w:val="bottom"/>
                  <w:hideMark/>
                </w:tcPr>
                <w:p w14:paraId="3DC95A98"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18.07%</w:t>
                  </w:r>
                </w:p>
              </w:tc>
              <w:tc>
                <w:tcPr>
                  <w:tcW w:w="2385" w:type="dxa"/>
                  <w:tcBorders>
                    <w:top w:val="nil"/>
                    <w:left w:val="nil"/>
                    <w:bottom w:val="single" w:sz="4" w:space="0" w:color="auto"/>
                    <w:right w:val="single" w:sz="4" w:space="0" w:color="auto"/>
                  </w:tcBorders>
                  <w:noWrap/>
                  <w:vAlign w:val="bottom"/>
                  <w:hideMark/>
                </w:tcPr>
                <w:p w14:paraId="70A54E1C"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19.53%</w:t>
                  </w:r>
                </w:p>
              </w:tc>
            </w:tr>
            <w:tr w:rsidR="00164649" w:rsidRPr="0009691C" w14:paraId="5EE5E185"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2AFE89DE"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&gt;=65</w:t>
                  </w:r>
                </w:p>
              </w:tc>
              <w:tc>
                <w:tcPr>
                  <w:tcW w:w="2254" w:type="dxa"/>
                  <w:tcBorders>
                    <w:top w:val="nil"/>
                    <w:left w:val="nil"/>
                    <w:bottom w:val="single" w:sz="4" w:space="0" w:color="auto"/>
                    <w:right w:val="single" w:sz="4" w:space="0" w:color="auto"/>
                  </w:tcBorders>
                  <w:noWrap/>
                  <w:vAlign w:val="bottom"/>
                  <w:hideMark/>
                </w:tcPr>
                <w:p w14:paraId="01FBE584"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51</w:t>
                  </w:r>
                </w:p>
              </w:tc>
              <w:tc>
                <w:tcPr>
                  <w:tcW w:w="2051" w:type="dxa"/>
                  <w:tcBorders>
                    <w:top w:val="nil"/>
                    <w:left w:val="nil"/>
                    <w:bottom w:val="single" w:sz="4" w:space="0" w:color="auto"/>
                    <w:right w:val="single" w:sz="4" w:space="0" w:color="auto"/>
                  </w:tcBorders>
                  <w:noWrap/>
                  <w:vAlign w:val="bottom"/>
                  <w:hideMark/>
                </w:tcPr>
                <w:p w14:paraId="37A0A097"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15.89%</w:t>
                  </w:r>
                </w:p>
              </w:tc>
              <w:tc>
                <w:tcPr>
                  <w:tcW w:w="2385" w:type="dxa"/>
                  <w:tcBorders>
                    <w:top w:val="nil"/>
                    <w:left w:val="nil"/>
                    <w:bottom w:val="single" w:sz="4" w:space="0" w:color="auto"/>
                    <w:right w:val="single" w:sz="4" w:space="0" w:color="auto"/>
                  </w:tcBorders>
                  <w:noWrap/>
                  <w:vAlign w:val="bottom"/>
                  <w:hideMark/>
                </w:tcPr>
                <w:p w14:paraId="283D9E12"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25.06%</w:t>
                  </w:r>
                </w:p>
              </w:tc>
            </w:tr>
            <w:tr w:rsidR="00164649" w:rsidRPr="0009691C" w14:paraId="534CA6BA" w14:textId="77777777" w:rsidTr="00722662">
              <w:trPr>
                <w:trHeight w:val="357"/>
              </w:trPr>
              <w:tc>
                <w:tcPr>
                  <w:tcW w:w="3152" w:type="dxa"/>
                  <w:tcBorders>
                    <w:top w:val="nil"/>
                    <w:left w:val="single" w:sz="4" w:space="0" w:color="auto"/>
                    <w:bottom w:val="single" w:sz="4" w:space="0" w:color="auto"/>
                    <w:right w:val="single" w:sz="4" w:space="0" w:color="auto"/>
                  </w:tcBorders>
                  <w:noWrap/>
                  <w:vAlign w:val="bottom"/>
                  <w:hideMark/>
                </w:tcPr>
                <w:p w14:paraId="34098202" w14:textId="77777777" w:rsidR="00164649" w:rsidRPr="0009691C" w:rsidRDefault="00164649" w:rsidP="00164649">
                  <w:pPr>
                    <w:rPr>
                      <w:rFonts w:ascii="Work Sans" w:hAnsi="Work Sans" w:cs="Arial"/>
                      <w:sz w:val="22"/>
                      <w:szCs w:val="22"/>
                    </w:rPr>
                  </w:pPr>
                  <w:r w:rsidRPr="0009691C">
                    <w:rPr>
                      <w:rFonts w:ascii="Work Sans" w:hAnsi="Work Sans" w:cs="Arial"/>
                      <w:sz w:val="22"/>
                      <w:szCs w:val="22"/>
                    </w:rPr>
                    <w:t>Unknown</w:t>
                  </w:r>
                </w:p>
              </w:tc>
              <w:tc>
                <w:tcPr>
                  <w:tcW w:w="2254" w:type="dxa"/>
                  <w:tcBorders>
                    <w:top w:val="nil"/>
                    <w:left w:val="nil"/>
                    <w:bottom w:val="single" w:sz="4" w:space="0" w:color="auto"/>
                    <w:right w:val="single" w:sz="4" w:space="0" w:color="auto"/>
                  </w:tcBorders>
                  <w:noWrap/>
                  <w:vAlign w:val="bottom"/>
                  <w:hideMark/>
                </w:tcPr>
                <w:p w14:paraId="6BCD66A2"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13</w:t>
                  </w:r>
                </w:p>
              </w:tc>
              <w:tc>
                <w:tcPr>
                  <w:tcW w:w="2051" w:type="dxa"/>
                  <w:tcBorders>
                    <w:top w:val="nil"/>
                    <w:left w:val="nil"/>
                    <w:bottom w:val="single" w:sz="4" w:space="0" w:color="auto"/>
                    <w:right w:val="single" w:sz="4" w:space="0" w:color="auto"/>
                  </w:tcBorders>
                  <w:noWrap/>
                  <w:vAlign w:val="bottom"/>
                  <w:hideMark/>
                </w:tcPr>
                <w:p w14:paraId="41E741DF"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4.05%</w:t>
                  </w:r>
                </w:p>
              </w:tc>
              <w:tc>
                <w:tcPr>
                  <w:tcW w:w="2385" w:type="dxa"/>
                  <w:tcBorders>
                    <w:top w:val="nil"/>
                    <w:left w:val="nil"/>
                    <w:bottom w:val="single" w:sz="4" w:space="0" w:color="auto"/>
                    <w:right w:val="single" w:sz="4" w:space="0" w:color="auto"/>
                  </w:tcBorders>
                  <w:noWrap/>
                  <w:vAlign w:val="bottom"/>
                  <w:hideMark/>
                </w:tcPr>
                <w:p w14:paraId="5FD6ECF0" w14:textId="77777777" w:rsidR="00164649" w:rsidRPr="0009691C" w:rsidRDefault="00164649" w:rsidP="00164649">
                  <w:pPr>
                    <w:jc w:val="right"/>
                    <w:rPr>
                      <w:rFonts w:ascii="Work Sans" w:hAnsi="Work Sans" w:cs="Arial"/>
                      <w:sz w:val="22"/>
                      <w:szCs w:val="22"/>
                    </w:rPr>
                  </w:pPr>
                  <w:r w:rsidRPr="0009691C">
                    <w:rPr>
                      <w:rFonts w:ascii="Work Sans" w:hAnsi="Work Sans" w:cs="Arial"/>
                      <w:sz w:val="22"/>
                      <w:szCs w:val="22"/>
                    </w:rPr>
                    <w:t>5.85%</w:t>
                  </w:r>
                </w:p>
              </w:tc>
            </w:tr>
          </w:tbl>
          <w:p w14:paraId="5D7DC8AA" w14:textId="33DBC821" w:rsidR="001B119F" w:rsidRPr="0009691C" w:rsidRDefault="001B119F" w:rsidP="001B119F">
            <w:pPr>
              <w:pStyle w:val="ListParagraph"/>
              <w:spacing w:before="60" w:after="120"/>
              <w:ind w:left="794"/>
              <w:jc w:val="both"/>
              <w:rPr>
                <w:rFonts w:ascii="Work Sans" w:eastAsia="Work Sans" w:hAnsi="Work Sans" w:cs="Work Sans"/>
              </w:rPr>
            </w:pPr>
          </w:p>
          <w:p w14:paraId="3D88003E" w14:textId="5760CFFB" w:rsidR="001B119F" w:rsidRPr="0009691C" w:rsidRDefault="001B119F" w:rsidP="001B119F">
            <w:pPr>
              <w:pStyle w:val="ListParagraph"/>
              <w:spacing w:before="60" w:after="120"/>
              <w:ind w:left="794"/>
              <w:jc w:val="both"/>
              <w:rPr>
                <w:rFonts w:ascii="Work Sans" w:eastAsia="Work Sans" w:hAnsi="Work Sans" w:cs="Work Sans"/>
                <w:b/>
                <w:bCs/>
              </w:rPr>
            </w:pPr>
            <w:r w:rsidRPr="0009691C">
              <w:rPr>
                <w:rFonts w:ascii="Work Sans" w:eastAsia="Work Sans" w:hAnsi="Work Sans" w:cs="Work Sans"/>
                <w:b/>
                <w:bCs/>
              </w:rPr>
              <w:t>Gender</w:t>
            </w:r>
          </w:p>
          <w:p w14:paraId="257E263D" w14:textId="521013F0" w:rsidR="001B119F" w:rsidRPr="0009691C" w:rsidRDefault="001B119F" w:rsidP="0019179A">
            <w:pPr>
              <w:pStyle w:val="ListParagraph"/>
              <w:numPr>
                <w:ilvl w:val="1"/>
                <w:numId w:val="1"/>
              </w:numPr>
              <w:spacing w:before="60" w:after="120"/>
              <w:ind w:left="794" w:hanging="794"/>
              <w:jc w:val="both"/>
              <w:rPr>
                <w:rFonts w:ascii="Work Sans" w:eastAsia="Work Sans" w:hAnsi="Work Sans" w:cs="Work Sans"/>
              </w:rPr>
            </w:pPr>
            <w:r w:rsidRPr="0009691C">
              <w:rPr>
                <w:rFonts w:ascii="Work Sans" w:eastAsia="Work Sans" w:hAnsi="Work Sans" w:cs="Work Sans"/>
              </w:rPr>
              <w:t xml:space="preserve">When looking at Gender Data we can see that </w:t>
            </w:r>
            <w:r w:rsidR="0022767D" w:rsidRPr="0009691C">
              <w:rPr>
                <w:rFonts w:ascii="Work Sans" w:eastAsia="Work Sans" w:hAnsi="Work Sans" w:cs="Work Sans"/>
              </w:rPr>
              <w:t>f</w:t>
            </w:r>
            <w:r w:rsidRPr="0009691C">
              <w:rPr>
                <w:rFonts w:ascii="Work Sans" w:eastAsia="Work Sans" w:hAnsi="Work Sans" w:cs="Work Sans"/>
              </w:rPr>
              <w:t>emale customers are reporting complaints proportional to their known customer population size. Male customers are currently reporting lower which we will monitor.</w:t>
            </w:r>
          </w:p>
          <w:tbl>
            <w:tblPr>
              <w:tblW w:w="9837" w:type="dxa"/>
              <w:tblLook w:val="04A0" w:firstRow="1" w:lastRow="0" w:firstColumn="1" w:lastColumn="0" w:noHBand="0" w:noVBand="1"/>
            </w:tblPr>
            <w:tblGrid>
              <w:gridCol w:w="3719"/>
              <w:gridCol w:w="1684"/>
              <w:gridCol w:w="2050"/>
              <w:gridCol w:w="2384"/>
            </w:tblGrid>
            <w:tr w:rsidR="004F56E7" w:rsidRPr="0009691C" w14:paraId="74075CE6" w14:textId="77777777" w:rsidTr="004F56E7">
              <w:trPr>
                <w:trHeight w:val="1401"/>
              </w:trPr>
              <w:tc>
                <w:tcPr>
                  <w:tcW w:w="371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E2A7C25" w14:textId="77777777" w:rsidR="004F56E7" w:rsidRPr="0009691C" w:rsidRDefault="004F56E7" w:rsidP="004F56E7">
                  <w:pPr>
                    <w:jc w:val="center"/>
                    <w:rPr>
                      <w:rFonts w:ascii="Work Sans" w:hAnsi="Work Sans" w:cs="Arial"/>
                      <w:b/>
                      <w:bCs/>
                      <w:sz w:val="22"/>
                      <w:szCs w:val="22"/>
                    </w:rPr>
                  </w:pPr>
                  <w:r w:rsidRPr="0009691C">
                    <w:rPr>
                      <w:rFonts w:ascii="Work Sans" w:hAnsi="Work Sans" w:cs="Arial"/>
                      <w:b/>
                      <w:bCs/>
                      <w:sz w:val="22"/>
                      <w:szCs w:val="22"/>
                    </w:rPr>
                    <w:t>Gender</w:t>
                  </w:r>
                </w:p>
              </w:tc>
              <w:tc>
                <w:tcPr>
                  <w:tcW w:w="1684" w:type="dxa"/>
                  <w:tcBorders>
                    <w:top w:val="single" w:sz="4" w:space="0" w:color="auto"/>
                    <w:left w:val="nil"/>
                    <w:bottom w:val="single" w:sz="4" w:space="0" w:color="auto"/>
                    <w:right w:val="single" w:sz="4" w:space="0" w:color="auto"/>
                  </w:tcBorders>
                  <w:shd w:val="clear" w:color="000000" w:fill="C4D79B"/>
                  <w:vAlign w:val="center"/>
                  <w:hideMark/>
                </w:tcPr>
                <w:p w14:paraId="5EE96391" w14:textId="77777777" w:rsidR="004F56E7" w:rsidRPr="0009691C" w:rsidRDefault="004F56E7" w:rsidP="004F56E7">
                  <w:pPr>
                    <w:jc w:val="center"/>
                    <w:rPr>
                      <w:rFonts w:ascii="Work Sans" w:hAnsi="Work Sans" w:cs="Arial"/>
                      <w:b/>
                      <w:bCs/>
                      <w:sz w:val="22"/>
                      <w:szCs w:val="22"/>
                    </w:rPr>
                  </w:pPr>
                  <w:r w:rsidRPr="0009691C">
                    <w:rPr>
                      <w:rFonts w:ascii="Work Sans" w:hAnsi="Work Sans" w:cs="Arial"/>
                      <w:b/>
                      <w:bCs/>
                      <w:sz w:val="22"/>
                      <w:szCs w:val="22"/>
                    </w:rPr>
                    <w:t>Number of Customers who made a complaint</w:t>
                  </w:r>
                </w:p>
              </w:tc>
              <w:tc>
                <w:tcPr>
                  <w:tcW w:w="2050" w:type="dxa"/>
                  <w:tcBorders>
                    <w:top w:val="single" w:sz="4" w:space="0" w:color="auto"/>
                    <w:left w:val="nil"/>
                    <w:bottom w:val="single" w:sz="4" w:space="0" w:color="auto"/>
                    <w:right w:val="single" w:sz="4" w:space="0" w:color="auto"/>
                  </w:tcBorders>
                  <w:shd w:val="clear" w:color="000000" w:fill="C4D79B"/>
                  <w:vAlign w:val="center"/>
                  <w:hideMark/>
                </w:tcPr>
                <w:p w14:paraId="3A9DA07F" w14:textId="77777777" w:rsidR="004F56E7" w:rsidRPr="0009691C" w:rsidRDefault="004F56E7" w:rsidP="004F56E7">
                  <w:pPr>
                    <w:jc w:val="center"/>
                    <w:rPr>
                      <w:rFonts w:ascii="Work Sans" w:hAnsi="Work Sans" w:cs="Arial"/>
                      <w:b/>
                      <w:bCs/>
                      <w:sz w:val="22"/>
                      <w:szCs w:val="22"/>
                    </w:rPr>
                  </w:pPr>
                  <w:r w:rsidRPr="0009691C">
                    <w:rPr>
                      <w:rFonts w:ascii="Work Sans" w:hAnsi="Work Sans" w:cs="Arial"/>
                      <w:b/>
                      <w:bCs/>
                      <w:sz w:val="22"/>
                      <w:szCs w:val="22"/>
                    </w:rPr>
                    <w:t>% of customers who made a complaint</w:t>
                  </w:r>
                </w:p>
              </w:tc>
              <w:tc>
                <w:tcPr>
                  <w:tcW w:w="2384" w:type="dxa"/>
                  <w:tcBorders>
                    <w:top w:val="single" w:sz="4" w:space="0" w:color="auto"/>
                    <w:left w:val="nil"/>
                    <w:bottom w:val="single" w:sz="4" w:space="0" w:color="auto"/>
                    <w:right w:val="single" w:sz="4" w:space="0" w:color="auto"/>
                  </w:tcBorders>
                  <w:shd w:val="clear" w:color="000000" w:fill="C4D79B"/>
                  <w:noWrap/>
                  <w:vAlign w:val="center"/>
                  <w:hideMark/>
                </w:tcPr>
                <w:p w14:paraId="4C22F46A" w14:textId="77777777" w:rsidR="004F56E7" w:rsidRPr="0009691C" w:rsidRDefault="004F56E7" w:rsidP="004F56E7">
                  <w:pPr>
                    <w:jc w:val="center"/>
                    <w:rPr>
                      <w:rFonts w:ascii="Work Sans" w:hAnsi="Work Sans" w:cs="Arial"/>
                      <w:b/>
                      <w:bCs/>
                      <w:sz w:val="22"/>
                      <w:szCs w:val="22"/>
                    </w:rPr>
                  </w:pPr>
                  <w:r w:rsidRPr="0009691C">
                    <w:rPr>
                      <w:rFonts w:ascii="Work Sans" w:hAnsi="Work Sans" w:cs="Arial"/>
                      <w:b/>
                      <w:bCs/>
                      <w:sz w:val="22"/>
                      <w:szCs w:val="22"/>
                    </w:rPr>
                    <w:t>% of all SYHA Tenants</w:t>
                  </w:r>
                </w:p>
              </w:tc>
            </w:tr>
            <w:tr w:rsidR="004F56E7" w:rsidRPr="0009691C" w14:paraId="460F7DB4" w14:textId="77777777" w:rsidTr="00982C69">
              <w:trPr>
                <w:trHeight w:val="340"/>
              </w:trPr>
              <w:tc>
                <w:tcPr>
                  <w:tcW w:w="3719" w:type="dxa"/>
                  <w:tcBorders>
                    <w:top w:val="nil"/>
                    <w:left w:val="single" w:sz="4" w:space="0" w:color="auto"/>
                    <w:bottom w:val="single" w:sz="4" w:space="0" w:color="auto"/>
                    <w:right w:val="single" w:sz="4" w:space="0" w:color="auto"/>
                  </w:tcBorders>
                  <w:noWrap/>
                  <w:vAlign w:val="bottom"/>
                  <w:hideMark/>
                </w:tcPr>
                <w:p w14:paraId="5983CDF4" w14:textId="77777777" w:rsidR="004F56E7" w:rsidRPr="0009691C" w:rsidRDefault="004F56E7" w:rsidP="004F56E7">
                  <w:pPr>
                    <w:rPr>
                      <w:rFonts w:ascii="Work Sans" w:hAnsi="Work Sans" w:cs="Arial"/>
                      <w:sz w:val="22"/>
                      <w:szCs w:val="22"/>
                    </w:rPr>
                  </w:pPr>
                  <w:r w:rsidRPr="0009691C">
                    <w:rPr>
                      <w:rFonts w:ascii="Work Sans" w:hAnsi="Work Sans" w:cs="Arial"/>
                      <w:sz w:val="22"/>
                      <w:szCs w:val="22"/>
                    </w:rPr>
                    <w:t>Unknown</w:t>
                  </w:r>
                </w:p>
              </w:tc>
              <w:tc>
                <w:tcPr>
                  <w:tcW w:w="1684" w:type="dxa"/>
                  <w:tcBorders>
                    <w:top w:val="nil"/>
                    <w:left w:val="nil"/>
                    <w:bottom w:val="single" w:sz="4" w:space="0" w:color="auto"/>
                    <w:right w:val="single" w:sz="4" w:space="0" w:color="auto"/>
                  </w:tcBorders>
                  <w:noWrap/>
                  <w:vAlign w:val="bottom"/>
                  <w:hideMark/>
                </w:tcPr>
                <w:p w14:paraId="3080E0C9"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95</w:t>
                  </w:r>
                </w:p>
              </w:tc>
              <w:tc>
                <w:tcPr>
                  <w:tcW w:w="2050" w:type="dxa"/>
                  <w:tcBorders>
                    <w:top w:val="nil"/>
                    <w:left w:val="nil"/>
                    <w:bottom w:val="single" w:sz="4" w:space="0" w:color="auto"/>
                    <w:right w:val="single" w:sz="4" w:space="0" w:color="auto"/>
                  </w:tcBorders>
                  <w:noWrap/>
                  <w:vAlign w:val="bottom"/>
                  <w:hideMark/>
                </w:tcPr>
                <w:p w14:paraId="5B3C3C03"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29.60%</w:t>
                  </w:r>
                </w:p>
              </w:tc>
              <w:tc>
                <w:tcPr>
                  <w:tcW w:w="2384" w:type="dxa"/>
                  <w:tcBorders>
                    <w:top w:val="nil"/>
                    <w:left w:val="nil"/>
                    <w:bottom w:val="single" w:sz="4" w:space="0" w:color="auto"/>
                    <w:right w:val="single" w:sz="4" w:space="0" w:color="auto"/>
                  </w:tcBorders>
                  <w:noWrap/>
                  <w:vAlign w:val="bottom"/>
                  <w:hideMark/>
                </w:tcPr>
                <w:p w14:paraId="30D71363"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26.95%</w:t>
                  </w:r>
                </w:p>
              </w:tc>
            </w:tr>
            <w:tr w:rsidR="004F56E7" w:rsidRPr="0009691C" w14:paraId="3CBC4C0F" w14:textId="77777777" w:rsidTr="00982C69">
              <w:trPr>
                <w:trHeight w:val="340"/>
              </w:trPr>
              <w:tc>
                <w:tcPr>
                  <w:tcW w:w="3719" w:type="dxa"/>
                  <w:tcBorders>
                    <w:top w:val="nil"/>
                    <w:left w:val="single" w:sz="4" w:space="0" w:color="auto"/>
                    <w:bottom w:val="single" w:sz="4" w:space="0" w:color="auto"/>
                    <w:right w:val="single" w:sz="4" w:space="0" w:color="auto"/>
                  </w:tcBorders>
                  <w:noWrap/>
                  <w:vAlign w:val="bottom"/>
                  <w:hideMark/>
                </w:tcPr>
                <w:p w14:paraId="5B5639D5" w14:textId="77777777" w:rsidR="004F56E7" w:rsidRPr="0009691C" w:rsidRDefault="004F56E7" w:rsidP="004F56E7">
                  <w:pPr>
                    <w:rPr>
                      <w:rFonts w:ascii="Work Sans" w:hAnsi="Work Sans" w:cs="Arial"/>
                      <w:sz w:val="22"/>
                      <w:szCs w:val="22"/>
                    </w:rPr>
                  </w:pPr>
                  <w:r w:rsidRPr="0009691C">
                    <w:rPr>
                      <w:rFonts w:ascii="Work Sans" w:hAnsi="Work Sans" w:cs="Arial"/>
                      <w:sz w:val="22"/>
                      <w:szCs w:val="22"/>
                    </w:rPr>
                    <w:t>Male</w:t>
                  </w:r>
                </w:p>
              </w:tc>
              <w:tc>
                <w:tcPr>
                  <w:tcW w:w="1684" w:type="dxa"/>
                  <w:tcBorders>
                    <w:top w:val="nil"/>
                    <w:left w:val="nil"/>
                    <w:bottom w:val="single" w:sz="4" w:space="0" w:color="auto"/>
                    <w:right w:val="single" w:sz="4" w:space="0" w:color="auto"/>
                  </w:tcBorders>
                  <w:noWrap/>
                  <w:vAlign w:val="bottom"/>
                  <w:hideMark/>
                </w:tcPr>
                <w:p w14:paraId="15F5793F"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40</w:t>
                  </w:r>
                </w:p>
              </w:tc>
              <w:tc>
                <w:tcPr>
                  <w:tcW w:w="2050" w:type="dxa"/>
                  <w:tcBorders>
                    <w:top w:val="nil"/>
                    <w:left w:val="nil"/>
                    <w:bottom w:val="single" w:sz="4" w:space="0" w:color="auto"/>
                    <w:right w:val="single" w:sz="4" w:space="0" w:color="auto"/>
                  </w:tcBorders>
                  <w:noWrap/>
                  <w:vAlign w:val="bottom"/>
                  <w:hideMark/>
                </w:tcPr>
                <w:p w14:paraId="053929B3"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12.46%</w:t>
                  </w:r>
                </w:p>
              </w:tc>
              <w:tc>
                <w:tcPr>
                  <w:tcW w:w="2384" w:type="dxa"/>
                  <w:tcBorders>
                    <w:top w:val="nil"/>
                    <w:left w:val="nil"/>
                    <w:bottom w:val="single" w:sz="4" w:space="0" w:color="auto"/>
                    <w:right w:val="single" w:sz="4" w:space="0" w:color="auto"/>
                  </w:tcBorders>
                  <w:noWrap/>
                  <w:vAlign w:val="bottom"/>
                  <w:hideMark/>
                </w:tcPr>
                <w:p w14:paraId="7D017A43"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27.82%</w:t>
                  </w:r>
                </w:p>
              </w:tc>
            </w:tr>
            <w:tr w:rsidR="004F56E7" w:rsidRPr="0009691C" w14:paraId="6BED0DA3" w14:textId="77777777" w:rsidTr="00982C69">
              <w:trPr>
                <w:trHeight w:val="340"/>
              </w:trPr>
              <w:tc>
                <w:tcPr>
                  <w:tcW w:w="3719" w:type="dxa"/>
                  <w:tcBorders>
                    <w:top w:val="nil"/>
                    <w:left w:val="single" w:sz="4" w:space="0" w:color="auto"/>
                    <w:bottom w:val="single" w:sz="4" w:space="0" w:color="auto"/>
                    <w:right w:val="single" w:sz="4" w:space="0" w:color="auto"/>
                  </w:tcBorders>
                  <w:noWrap/>
                  <w:vAlign w:val="bottom"/>
                  <w:hideMark/>
                </w:tcPr>
                <w:p w14:paraId="1EBEAEB2" w14:textId="77777777" w:rsidR="004F56E7" w:rsidRPr="0009691C" w:rsidRDefault="004F56E7" w:rsidP="004F56E7">
                  <w:pPr>
                    <w:rPr>
                      <w:rFonts w:ascii="Work Sans" w:hAnsi="Work Sans" w:cs="Arial"/>
                      <w:sz w:val="22"/>
                      <w:szCs w:val="22"/>
                    </w:rPr>
                  </w:pPr>
                  <w:r w:rsidRPr="0009691C">
                    <w:rPr>
                      <w:rFonts w:ascii="Work Sans" w:hAnsi="Work Sans" w:cs="Arial"/>
                      <w:sz w:val="22"/>
                      <w:szCs w:val="22"/>
                    </w:rPr>
                    <w:t>Female</w:t>
                  </w:r>
                </w:p>
              </w:tc>
              <w:tc>
                <w:tcPr>
                  <w:tcW w:w="1684" w:type="dxa"/>
                  <w:tcBorders>
                    <w:top w:val="nil"/>
                    <w:left w:val="nil"/>
                    <w:bottom w:val="single" w:sz="4" w:space="0" w:color="auto"/>
                    <w:right w:val="single" w:sz="4" w:space="0" w:color="auto"/>
                  </w:tcBorders>
                  <w:noWrap/>
                  <w:vAlign w:val="bottom"/>
                  <w:hideMark/>
                </w:tcPr>
                <w:p w14:paraId="1440B4F0"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186</w:t>
                  </w:r>
                </w:p>
              </w:tc>
              <w:tc>
                <w:tcPr>
                  <w:tcW w:w="2050" w:type="dxa"/>
                  <w:tcBorders>
                    <w:top w:val="nil"/>
                    <w:left w:val="nil"/>
                    <w:bottom w:val="single" w:sz="4" w:space="0" w:color="auto"/>
                    <w:right w:val="single" w:sz="4" w:space="0" w:color="auto"/>
                  </w:tcBorders>
                  <w:noWrap/>
                  <w:vAlign w:val="bottom"/>
                  <w:hideMark/>
                </w:tcPr>
                <w:p w14:paraId="116A1F9A"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57.94%</w:t>
                  </w:r>
                </w:p>
              </w:tc>
              <w:tc>
                <w:tcPr>
                  <w:tcW w:w="2384" w:type="dxa"/>
                  <w:tcBorders>
                    <w:top w:val="nil"/>
                    <w:left w:val="nil"/>
                    <w:bottom w:val="single" w:sz="4" w:space="0" w:color="auto"/>
                    <w:right w:val="single" w:sz="4" w:space="0" w:color="auto"/>
                  </w:tcBorders>
                  <w:noWrap/>
                  <w:vAlign w:val="bottom"/>
                  <w:hideMark/>
                </w:tcPr>
                <w:p w14:paraId="2F4B0434" w14:textId="77777777" w:rsidR="004F56E7" w:rsidRPr="0009691C" w:rsidRDefault="004F56E7" w:rsidP="004F56E7">
                  <w:pPr>
                    <w:jc w:val="right"/>
                    <w:rPr>
                      <w:rFonts w:ascii="Work Sans" w:hAnsi="Work Sans" w:cs="Arial"/>
                      <w:sz w:val="22"/>
                      <w:szCs w:val="22"/>
                    </w:rPr>
                  </w:pPr>
                  <w:r w:rsidRPr="0009691C">
                    <w:rPr>
                      <w:rFonts w:ascii="Work Sans" w:hAnsi="Work Sans" w:cs="Arial"/>
                      <w:sz w:val="22"/>
                      <w:szCs w:val="22"/>
                    </w:rPr>
                    <w:t>45.24%</w:t>
                  </w:r>
                </w:p>
              </w:tc>
            </w:tr>
          </w:tbl>
          <w:p w14:paraId="738DB239" w14:textId="320DB6E8" w:rsidR="001B119F" w:rsidRPr="0009691C" w:rsidRDefault="001B119F" w:rsidP="001B119F">
            <w:pPr>
              <w:pStyle w:val="ListParagraph"/>
              <w:spacing w:before="60" w:after="120"/>
              <w:ind w:left="794"/>
              <w:rPr>
                <w:rFonts w:ascii="Work Sans" w:eastAsia="Work Sans" w:hAnsi="Work Sans" w:cs="Work Sans"/>
              </w:rPr>
            </w:pPr>
          </w:p>
          <w:p w14:paraId="1DFB1A2A" w14:textId="7F3E75B6" w:rsidR="001B119F" w:rsidRPr="0009691C" w:rsidRDefault="001B119F" w:rsidP="001B119F">
            <w:pPr>
              <w:pStyle w:val="ListParagraph"/>
              <w:spacing w:before="60" w:after="120"/>
              <w:ind w:left="794"/>
              <w:jc w:val="both"/>
              <w:rPr>
                <w:rFonts w:ascii="Work Sans" w:eastAsia="Work Sans" w:hAnsi="Work Sans" w:cs="Work Sans"/>
                <w:b/>
                <w:bCs/>
              </w:rPr>
            </w:pPr>
            <w:r w:rsidRPr="0009691C">
              <w:rPr>
                <w:rFonts w:ascii="Work Sans" w:eastAsia="Work Sans" w:hAnsi="Work Sans" w:cs="Work Sans"/>
                <w:b/>
                <w:bCs/>
              </w:rPr>
              <w:t>Sexual Orientation</w:t>
            </w:r>
          </w:p>
          <w:p w14:paraId="5B09DA06" w14:textId="0A5E6850" w:rsidR="005B589D" w:rsidRPr="0009691C" w:rsidRDefault="003403AD" w:rsidP="0019179A">
            <w:pPr>
              <w:pStyle w:val="ListParagraph"/>
              <w:numPr>
                <w:ilvl w:val="1"/>
                <w:numId w:val="1"/>
              </w:numPr>
              <w:spacing w:before="60" w:after="120"/>
              <w:ind w:left="794" w:hanging="794"/>
              <w:jc w:val="both"/>
              <w:rPr>
                <w:rFonts w:ascii="Work Sans" w:eastAsia="Work Sans" w:hAnsi="Work Sans" w:cs="Work Sans"/>
              </w:rPr>
            </w:pPr>
            <w:r w:rsidRPr="0009691C">
              <w:rPr>
                <w:rFonts w:ascii="Work Sans" w:eastAsia="Work Sans" w:hAnsi="Work Sans" w:cs="Work Sans"/>
              </w:rPr>
              <w:t>The</w:t>
            </w:r>
            <w:r w:rsidR="001B119F" w:rsidRPr="0009691C">
              <w:rPr>
                <w:rFonts w:ascii="Work Sans" w:eastAsia="Work Sans" w:hAnsi="Work Sans" w:cs="Work Sans"/>
              </w:rPr>
              <w:t xml:space="preserve"> data on sexual orientation</w:t>
            </w:r>
            <w:r w:rsidRPr="0009691C">
              <w:rPr>
                <w:rFonts w:ascii="Work Sans" w:eastAsia="Work Sans" w:hAnsi="Work Sans" w:cs="Work Sans"/>
              </w:rPr>
              <w:t xml:space="preserve"> </w:t>
            </w:r>
            <w:r w:rsidR="001B119F" w:rsidRPr="0009691C">
              <w:rPr>
                <w:rFonts w:ascii="Work Sans" w:eastAsia="Work Sans" w:hAnsi="Work Sans" w:cs="Work Sans"/>
              </w:rPr>
              <w:t xml:space="preserve">shows a </w:t>
            </w:r>
            <w:r w:rsidR="00022DE6" w:rsidRPr="0009691C">
              <w:rPr>
                <w:rFonts w:ascii="Work Sans" w:eastAsia="Work Sans" w:hAnsi="Work Sans" w:cs="Work Sans"/>
              </w:rPr>
              <w:t>similar</w:t>
            </w:r>
            <w:r w:rsidR="001B119F" w:rsidRPr="0009691C">
              <w:rPr>
                <w:rFonts w:ascii="Work Sans" w:eastAsia="Work Sans" w:hAnsi="Work Sans" w:cs="Work Sans"/>
              </w:rPr>
              <w:t xml:space="preserve"> correlation between the number of customers and complaints in most categories.</w:t>
            </w:r>
            <w:r w:rsidR="00F10083" w:rsidRPr="0009691C">
              <w:rPr>
                <w:rFonts w:ascii="Work Sans" w:eastAsia="Work Sans" w:hAnsi="Work Sans" w:cs="Work Sans"/>
              </w:rPr>
              <w:t xml:space="preserve"> </w:t>
            </w:r>
            <w:r w:rsidR="001B119F" w:rsidRPr="0009691C">
              <w:rPr>
                <w:rFonts w:ascii="Work Sans" w:eastAsia="Work Sans" w:hAnsi="Work Sans" w:cs="Work Sans"/>
              </w:rPr>
              <w:t xml:space="preserve">Both Heterosexual/Straight </w:t>
            </w:r>
            <w:r w:rsidR="007433A0" w:rsidRPr="0009691C">
              <w:rPr>
                <w:rFonts w:ascii="Work Sans" w:eastAsia="Work Sans" w:hAnsi="Work Sans" w:cs="Work Sans"/>
              </w:rPr>
              <w:t xml:space="preserve">and Gay/Lesbian </w:t>
            </w:r>
            <w:r w:rsidR="001B119F" w:rsidRPr="0009691C">
              <w:rPr>
                <w:rFonts w:ascii="Work Sans" w:eastAsia="Work Sans" w:hAnsi="Work Sans" w:cs="Work Sans"/>
              </w:rPr>
              <w:t xml:space="preserve">groups report more complaints than </w:t>
            </w:r>
            <w:r w:rsidR="006E6AF3" w:rsidRPr="0009691C">
              <w:rPr>
                <w:rFonts w:ascii="Work Sans" w:eastAsia="Work Sans" w:hAnsi="Work Sans" w:cs="Work Sans"/>
              </w:rPr>
              <w:t xml:space="preserve">the customer base.  Again, </w:t>
            </w:r>
            <w:r w:rsidR="005079DF" w:rsidRPr="0009691C">
              <w:rPr>
                <w:rFonts w:ascii="Work Sans" w:eastAsia="Work Sans" w:hAnsi="Work Sans" w:cs="Work Sans"/>
              </w:rPr>
              <w:t>improved customer</w:t>
            </w:r>
            <w:r w:rsidR="002F3E18" w:rsidRPr="0009691C">
              <w:rPr>
                <w:rFonts w:ascii="Work Sans" w:eastAsia="Work Sans" w:hAnsi="Work Sans" w:cs="Work Sans"/>
              </w:rPr>
              <w:t xml:space="preserve"> data w</w:t>
            </w:r>
            <w:r w:rsidR="00202E34" w:rsidRPr="0009691C">
              <w:rPr>
                <w:rFonts w:ascii="Work Sans" w:eastAsia="Work Sans" w:hAnsi="Work Sans" w:cs="Work Sans"/>
              </w:rPr>
              <w:t xml:space="preserve">ill support better analysis and insight. </w:t>
            </w:r>
            <w:r w:rsidR="00F10083" w:rsidRPr="0009691C">
              <w:rPr>
                <w:rFonts w:ascii="Work Sans" w:eastAsia="Work Sans" w:hAnsi="Work Sans" w:cs="Work Sans"/>
              </w:rPr>
              <w:t xml:space="preserve"> </w:t>
            </w:r>
          </w:p>
          <w:tbl>
            <w:tblPr>
              <w:tblW w:w="9876" w:type="dxa"/>
              <w:tblLook w:val="04A0" w:firstRow="1" w:lastRow="0" w:firstColumn="1" w:lastColumn="0" w:noHBand="0" w:noVBand="1"/>
            </w:tblPr>
            <w:tblGrid>
              <w:gridCol w:w="3436"/>
              <w:gridCol w:w="1989"/>
              <w:gridCol w:w="2058"/>
              <w:gridCol w:w="2393"/>
            </w:tblGrid>
            <w:tr w:rsidR="003E5D14" w:rsidRPr="0009691C" w14:paraId="6244AA1D" w14:textId="77777777" w:rsidTr="003E5D14">
              <w:trPr>
                <w:trHeight w:val="1384"/>
              </w:trPr>
              <w:tc>
                <w:tcPr>
                  <w:tcW w:w="3436"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0BC90B73" w14:textId="2E990BBA" w:rsidR="003E5D14" w:rsidRPr="0009691C" w:rsidRDefault="001B119F" w:rsidP="003E5D14">
                  <w:pPr>
                    <w:jc w:val="center"/>
                    <w:rPr>
                      <w:rFonts w:ascii="Work Sans" w:hAnsi="Work Sans" w:cs="Arial"/>
                      <w:b/>
                      <w:bCs/>
                      <w:sz w:val="22"/>
                      <w:szCs w:val="22"/>
                    </w:rPr>
                  </w:pPr>
                  <w:r w:rsidRPr="0009691C">
                    <w:rPr>
                      <w:rFonts w:ascii="Work Sans" w:eastAsia="Work Sans" w:hAnsi="Work Sans" w:cs="Work Sans"/>
                    </w:rPr>
                    <w:t xml:space="preserve"> </w:t>
                  </w:r>
                  <w:r w:rsidR="003E5D14" w:rsidRPr="0009691C">
                    <w:rPr>
                      <w:rFonts w:ascii="Work Sans" w:hAnsi="Work Sans" w:cs="Arial"/>
                      <w:b/>
                      <w:bCs/>
                      <w:sz w:val="22"/>
                      <w:szCs w:val="22"/>
                    </w:rPr>
                    <w:t>Sexual Orientation</w:t>
                  </w:r>
                </w:p>
              </w:tc>
              <w:tc>
                <w:tcPr>
                  <w:tcW w:w="1989" w:type="dxa"/>
                  <w:tcBorders>
                    <w:top w:val="single" w:sz="4" w:space="0" w:color="auto"/>
                    <w:left w:val="nil"/>
                    <w:bottom w:val="single" w:sz="4" w:space="0" w:color="auto"/>
                    <w:right w:val="single" w:sz="4" w:space="0" w:color="auto"/>
                  </w:tcBorders>
                  <w:shd w:val="clear" w:color="000000" w:fill="4F81BD"/>
                  <w:vAlign w:val="center"/>
                  <w:hideMark/>
                </w:tcPr>
                <w:p w14:paraId="3AC8FFB6" w14:textId="77777777" w:rsidR="003E5D14" w:rsidRPr="0009691C" w:rsidRDefault="003E5D14" w:rsidP="003E5D14">
                  <w:pPr>
                    <w:jc w:val="center"/>
                    <w:rPr>
                      <w:rFonts w:ascii="Work Sans" w:hAnsi="Work Sans" w:cs="Arial"/>
                      <w:b/>
                      <w:bCs/>
                      <w:sz w:val="22"/>
                      <w:szCs w:val="22"/>
                    </w:rPr>
                  </w:pPr>
                  <w:r w:rsidRPr="0009691C">
                    <w:rPr>
                      <w:rFonts w:ascii="Work Sans" w:hAnsi="Work Sans" w:cs="Arial"/>
                      <w:b/>
                      <w:bCs/>
                      <w:sz w:val="22"/>
                      <w:szCs w:val="22"/>
                    </w:rPr>
                    <w:t>Number of Customers who made a complaint</w:t>
                  </w:r>
                </w:p>
              </w:tc>
              <w:tc>
                <w:tcPr>
                  <w:tcW w:w="2058" w:type="dxa"/>
                  <w:tcBorders>
                    <w:top w:val="single" w:sz="4" w:space="0" w:color="auto"/>
                    <w:left w:val="nil"/>
                    <w:bottom w:val="single" w:sz="4" w:space="0" w:color="auto"/>
                    <w:right w:val="single" w:sz="4" w:space="0" w:color="auto"/>
                  </w:tcBorders>
                  <w:shd w:val="clear" w:color="000000" w:fill="4F81BD"/>
                  <w:vAlign w:val="center"/>
                  <w:hideMark/>
                </w:tcPr>
                <w:p w14:paraId="4C06C727" w14:textId="77777777" w:rsidR="003E5D14" w:rsidRPr="0009691C" w:rsidRDefault="003E5D14" w:rsidP="003E5D14">
                  <w:pPr>
                    <w:jc w:val="center"/>
                    <w:rPr>
                      <w:rFonts w:ascii="Work Sans" w:hAnsi="Work Sans" w:cs="Arial"/>
                      <w:b/>
                      <w:bCs/>
                      <w:sz w:val="22"/>
                      <w:szCs w:val="22"/>
                    </w:rPr>
                  </w:pPr>
                  <w:r w:rsidRPr="0009691C">
                    <w:rPr>
                      <w:rFonts w:ascii="Work Sans" w:hAnsi="Work Sans" w:cs="Arial"/>
                      <w:b/>
                      <w:bCs/>
                      <w:sz w:val="22"/>
                      <w:szCs w:val="22"/>
                    </w:rPr>
                    <w:t>% of customers who made a complaint</w:t>
                  </w:r>
                </w:p>
              </w:tc>
              <w:tc>
                <w:tcPr>
                  <w:tcW w:w="2393" w:type="dxa"/>
                  <w:tcBorders>
                    <w:top w:val="single" w:sz="4" w:space="0" w:color="auto"/>
                    <w:left w:val="nil"/>
                    <w:bottom w:val="single" w:sz="4" w:space="0" w:color="auto"/>
                    <w:right w:val="single" w:sz="4" w:space="0" w:color="auto"/>
                  </w:tcBorders>
                  <w:shd w:val="clear" w:color="000000" w:fill="4F81BD"/>
                  <w:noWrap/>
                  <w:vAlign w:val="center"/>
                  <w:hideMark/>
                </w:tcPr>
                <w:p w14:paraId="3B12FB6F" w14:textId="77777777" w:rsidR="003E5D14" w:rsidRPr="0009691C" w:rsidRDefault="003E5D14" w:rsidP="003E5D14">
                  <w:pPr>
                    <w:jc w:val="center"/>
                    <w:rPr>
                      <w:rFonts w:ascii="Work Sans" w:hAnsi="Work Sans" w:cs="Arial"/>
                      <w:b/>
                      <w:bCs/>
                      <w:sz w:val="22"/>
                      <w:szCs w:val="22"/>
                    </w:rPr>
                  </w:pPr>
                  <w:r w:rsidRPr="0009691C">
                    <w:rPr>
                      <w:rFonts w:ascii="Work Sans" w:hAnsi="Work Sans" w:cs="Arial"/>
                      <w:b/>
                      <w:bCs/>
                      <w:sz w:val="22"/>
                      <w:szCs w:val="22"/>
                    </w:rPr>
                    <w:t>% of all SYHA Tenants</w:t>
                  </w:r>
                </w:p>
              </w:tc>
            </w:tr>
            <w:tr w:rsidR="003E5D14" w:rsidRPr="0009691C" w14:paraId="3DDC0417"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7F3EFDBD"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Bisexual</w:t>
                  </w:r>
                </w:p>
              </w:tc>
              <w:tc>
                <w:tcPr>
                  <w:tcW w:w="1989" w:type="dxa"/>
                  <w:tcBorders>
                    <w:top w:val="nil"/>
                    <w:left w:val="nil"/>
                    <w:bottom w:val="single" w:sz="4" w:space="0" w:color="auto"/>
                    <w:right w:val="single" w:sz="4" w:space="0" w:color="auto"/>
                  </w:tcBorders>
                  <w:noWrap/>
                  <w:vAlign w:val="bottom"/>
                  <w:hideMark/>
                </w:tcPr>
                <w:p w14:paraId="2E992862"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1</w:t>
                  </w:r>
                </w:p>
              </w:tc>
              <w:tc>
                <w:tcPr>
                  <w:tcW w:w="2058" w:type="dxa"/>
                  <w:tcBorders>
                    <w:top w:val="nil"/>
                    <w:left w:val="nil"/>
                    <w:bottom w:val="single" w:sz="4" w:space="0" w:color="auto"/>
                    <w:right w:val="single" w:sz="4" w:space="0" w:color="auto"/>
                  </w:tcBorders>
                  <w:noWrap/>
                  <w:vAlign w:val="bottom"/>
                  <w:hideMark/>
                </w:tcPr>
                <w:p w14:paraId="44AF00A8"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0.31%</w:t>
                  </w:r>
                </w:p>
              </w:tc>
              <w:tc>
                <w:tcPr>
                  <w:tcW w:w="2393" w:type="dxa"/>
                  <w:tcBorders>
                    <w:top w:val="nil"/>
                    <w:left w:val="nil"/>
                    <w:bottom w:val="nil"/>
                    <w:right w:val="nil"/>
                  </w:tcBorders>
                  <w:noWrap/>
                  <w:vAlign w:val="bottom"/>
                  <w:hideMark/>
                </w:tcPr>
                <w:p w14:paraId="08B90AB2" w14:textId="7A86FC2C" w:rsidR="003E5D14" w:rsidRPr="0009691C" w:rsidRDefault="006F66ED" w:rsidP="003E5D14">
                  <w:pPr>
                    <w:jc w:val="right"/>
                    <w:rPr>
                      <w:rFonts w:ascii="Work Sans" w:hAnsi="Work Sans" w:cs="Calibri"/>
                      <w:sz w:val="22"/>
                      <w:szCs w:val="22"/>
                    </w:rPr>
                  </w:pPr>
                  <w:r w:rsidRPr="0009691C">
                    <w:rPr>
                      <w:rFonts w:ascii="Work Sans" w:hAnsi="Work Sans" w:cs="Calibri"/>
                      <w:sz w:val="22"/>
                      <w:szCs w:val="22"/>
                    </w:rPr>
                    <w:t>0.52%</w:t>
                  </w:r>
                </w:p>
              </w:tc>
            </w:tr>
            <w:tr w:rsidR="003E5D14" w:rsidRPr="0009691C" w14:paraId="26772BE7"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3C95AD63"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Did not answer the question</w:t>
                  </w:r>
                </w:p>
              </w:tc>
              <w:tc>
                <w:tcPr>
                  <w:tcW w:w="1989" w:type="dxa"/>
                  <w:tcBorders>
                    <w:top w:val="nil"/>
                    <w:left w:val="nil"/>
                    <w:bottom w:val="single" w:sz="4" w:space="0" w:color="auto"/>
                    <w:right w:val="single" w:sz="4" w:space="0" w:color="auto"/>
                  </w:tcBorders>
                  <w:noWrap/>
                  <w:vAlign w:val="bottom"/>
                  <w:hideMark/>
                </w:tcPr>
                <w:p w14:paraId="5529904C"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1</w:t>
                  </w:r>
                </w:p>
              </w:tc>
              <w:tc>
                <w:tcPr>
                  <w:tcW w:w="2058" w:type="dxa"/>
                  <w:tcBorders>
                    <w:top w:val="nil"/>
                    <w:left w:val="nil"/>
                    <w:bottom w:val="single" w:sz="4" w:space="0" w:color="auto"/>
                    <w:right w:val="single" w:sz="4" w:space="0" w:color="auto"/>
                  </w:tcBorders>
                  <w:noWrap/>
                  <w:vAlign w:val="bottom"/>
                  <w:hideMark/>
                </w:tcPr>
                <w:p w14:paraId="36918B93"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0.31%</w:t>
                  </w:r>
                </w:p>
              </w:tc>
              <w:tc>
                <w:tcPr>
                  <w:tcW w:w="2393" w:type="dxa"/>
                  <w:tcBorders>
                    <w:top w:val="single" w:sz="4" w:space="0" w:color="auto"/>
                    <w:left w:val="nil"/>
                    <w:bottom w:val="single" w:sz="4" w:space="0" w:color="auto"/>
                    <w:right w:val="single" w:sz="4" w:space="0" w:color="auto"/>
                  </w:tcBorders>
                  <w:noWrap/>
                  <w:vAlign w:val="bottom"/>
                  <w:hideMark/>
                </w:tcPr>
                <w:p w14:paraId="08A469B0"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0.33%</w:t>
                  </w:r>
                </w:p>
              </w:tc>
            </w:tr>
            <w:tr w:rsidR="003E5D14" w:rsidRPr="0009691C" w14:paraId="0E7F61C4"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44DC01C7"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Gay/ Lesbian</w:t>
                  </w:r>
                </w:p>
              </w:tc>
              <w:tc>
                <w:tcPr>
                  <w:tcW w:w="1989" w:type="dxa"/>
                  <w:tcBorders>
                    <w:top w:val="nil"/>
                    <w:left w:val="nil"/>
                    <w:bottom w:val="single" w:sz="4" w:space="0" w:color="auto"/>
                    <w:right w:val="single" w:sz="4" w:space="0" w:color="auto"/>
                  </w:tcBorders>
                  <w:noWrap/>
                  <w:vAlign w:val="bottom"/>
                  <w:hideMark/>
                </w:tcPr>
                <w:p w14:paraId="473D065C"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4</w:t>
                  </w:r>
                </w:p>
              </w:tc>
              <w:tc>
                <w:tcPr>
                  <w:tcW w:w="2058" w:type="dxa"/>
                  <w:tcBorders>
                    <w:top w:val="nil"/>
                    <w:left w:val="nil"/>
                    <w:bottom w:val="single" w:sz="4" w:space="0" w:color="auto"/>
                    <w:right w:val="single" w:sz="4" w:space="0" w:color="auto"/>
                  </w:tcBorders>
                  <w:noWrap/>
                  <w:vAlign w:val="bottom"/>
                  <w:hideMark/>
                </w:tcPr>
                <w:p w14:paraId="0B29D3D0"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1.25%</w:t>
                  </w:r>
                </w:p>
              </w:tc>
              <w:tc>
                <w:tcPr>
                  <w:tcW w:w="2393" w:type="dxa"/>
                  <w:tcBorders>
                    <w:top w:val="nil"/>
                    <w:left w:val="nil"/>
                    <w:bottom w:val="single" w:sz="4" w:space="0" w:color="auto"/>
                    <w:right w:val="single" w:sz="4" w:space="0" w:color="auto"/>
                  </w:tcBorders>
                  <w:noWrap/>
                  <w:vAlign w:val="bottom"/>
                  <w:hideMark/>
                </w:tcPr>
                <w:p w14:paraId="5EAF849D"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0.81%</w:t>
                  </w:r>
                </w:p>
              </w:tc>
            </w:tr>
            <w:tr w:rsidR="003E5D14" w:rsidRPr="0009691C" w14:paraId="0086FC4B"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47D650CD"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Heterosexual/ Straight</w:t>
                  </w:r>
                </w:p>
              </w:tc>
              <w:tc>
                <w:tcPr>
                  <w:tcW w:w="1989" w:type="dxa"/>
                  <w:tcBorders>
                    <w:top w:val="nil"/>
                    <w:left w:val="nil"/>
                    <w:bottom w:val="single" w:sz="4" w:space="0" w:color="auto"/>
                    <w:right w:val="single" w:sz="4" w:space="0" w:color="auto"/>
                  </w:tcBorders>
                  <w:noWrap/>
                  <w:vAlign w:val="bottom"/>
                  <w:hideMark/>
                </w:tcPr>
                <w:p w14:paraId="03E6B5F2"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229</w:t>
                  </w:r>
                </w:p>
              </w:tc>
              <w:tc>
                <w:tcPr>
                  <w:tcW w:w="2058" w:type="dxa"/>
                  <w:tcBorders>
                    <w:top w:val="nil"/>
                    <w:left w:val="nil"/>
                    <w:bottom w:val="single" w:sz="4" w:space="0" w:color="auto"/>
                    <w:right w:val="single" w:sz="4" w:space="0" w:color="auto"/>
                  </w:tcBorders>
                  <w:noWrap/>
                  <w:vAlign w:val="bottom"/>
                  <w:hideMark/>
                </w:tcPr>
                <w:p w14:paraId="44DEC6DA"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71.34%</w:t>
                  </w:r>
                </w:p>
              </w:tc>
              <w:tc>
                <w:tcPr>
                  <w:tcW w:w="2393" w:type="dxa"/>
                  <w:tcBorders>
                    <w:top w:val="nil"/>
                    <w:left w:val="nil"/>
                    <w:bottom w:val="single" w:sz="4" w:space="0" w:color="auto"/>
                    <w:right w:val="single" w:sz="4" w:space="0" w:color="auto"/>
                  </w:tcBorders>
                  <w:noWrap/>
                  <w:vAlign w:val="bottom"/>
                  <w:hideMark/>
                </w:tcPr>
                <w:p w14:paraId="317F6D0B"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61.72%</w:t>
                  </w:r>
                </w:p>
              </w:tc>
            </w:tr>
            <w:tr w:rsidR="003E5D14" w:rsidRPr="0009691C" w14:paraId="7002D11D"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55896CB0"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In other way</w:t>
                  </w:r>
                </w:p>
              </w:tc>
              <w:tc>
                <w:tcPr>
                  <w:tcW w:w="1989" w:type="dxa"/>
                  <w:tcBorders>
                    <w:top w:val="nil"/>
                    <w:left w:val="nil"/>
                    <w:bottom w:val="single" w:sz="4" w:space="0" w:color="auto"/>
                    <w:right w:val="single" w:sz="4" w:space="0" w:color="auto"/>
                  </w:tcBorders>
                  <w:noWrap/>
                  <w:vAlign w:val="bottom"/>
                  <w:hideMark/>
                </w:tcPr>
                <w:p w14:paraId="141B728F"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 </w:t>
                  </w:r>
                </w:p>
              </w:tc>
              <w:tc>
                <w:tcPr>
                  <w:tcW w:w="2058" w:type="dxa"/>
                  <w:tcBorders>
                    <w:top w:val="nil"/>
                    <w:left w:val="nil"/>
                    <w:bottom w:val="single" w:sz="4" w:space="0" w:color="auto"/>
                    <w:right w:val="single" w:sz="4" w:space="0" w:color="auto"/>
                  </w:tcBorders>
                  <w:noWrap/>
                  <w:vAlign w:val="bottom"/>
                  <w:hideMark/>
                </w:tcPr>
                <w:p w14:paraId="7C0695FD"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 </w:t>
                  </w:r>
                </w:p>
              </w:tc>
              <w:tc>
                <w:tcPr>
                  <w:tcW w:w="2393" w:type="dxa"/>
                  <w:tcBorders>
                    <w:top w:val="nil"/>
                    <w:left w:val="nil"/>
                    <w:bottom w:val="single" w:sz="4" w:space="0" w:color="auto"/>
                    <w:right w:val="single" w:sz="4" w:space="0" w:color="auto"/>
                  </w:tcBorders>
                  <w:noWrap/>
                  <w:vAlign w:val="bottom"/>
                  <w:hideMark/>
                </w:tcPr>
                <w:p w14:paraId="23B4F409"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0.06%</w:t>
                  </w:r>
                </w:p>
              </w:tc>
            </w:tr>
            <w:tr w:rsidR="003E5D14" w:rsidRPr="0009691C" w14:paraId="5DA7218F"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371D2931"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Prefer not to say</w:t>
                  </w:r>
                </w:p>
              </w:tc>
              <w:tc>
                <w:tcPr>
                  <w:tcW w:w="1989" w:type="dxa"/>
                  <w:tcBorders>
                    <w:top w:val="nil"/>
                    <w:left w:val="nil"/>
                    <w:bottom w:val="single" w:sz="4" w:space="0" w:color="auto"/>
                    <w:right w:val="single" w:sz="4" w:space="0" w:color="auto"/>
                  </w:tcBorders>
                  <w:noWrap/>
                  <w:vAlign w:val="bottom"/>
                  <w:hideMark/>
                </w:tcPr>
                <w:p w14:paraId="74C206C1"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11</w:t>
                  </w:r>
                </w:p>
              </w:tc>
              <w:tc>
                <w:tcPr>
                  <w:tcW w:w="2058" w:type="dxa"/>
                  <w:tcBorders>
                    <w:top w:val="nil"/>
                    <w:left w:val="nil"/>
                    <w:bottom w:val="single" w:sz="4" w:space="0" w:color="auto"/>
                    <w:right w:val="single" w:sz="4" w:space="0" w:color="auto"/>
                  </w:tcBorders>
                  <w:noWrap/>
                  <w:vAlign w:val="bottom"/>
                  <w:hideMark/>
                </w:tcPr>
                <w:p w14:paraId="5289FEAB"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3.43%</w:t>
                  </w:r>
                </w:p>
              </w:tc>
              <w:tc>
                <w:tcPr>
                  <w:tcW w:w="2393" w:type="dxa"/>
                  <w:tcBorders>
                    <w:top w:val="nil"/>
                    <w:left w:val="nil"/>
                    <w:bottom w:val="single" w:sz="4" w:space="0" w:color="auto"/>
                    <w:right w:val="single" w:sz="4" w:space="0" w:color="auto"/>
                  </w:tcBorders>
                  <w:noWrap/>
                  <w:vAlign w:val="bottom"/>
                  <w:hideMark/>
                </w:tcPr>
                <w:p w14:paraId="12FBB6F9"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6.44%</w:t>
                  </w:r>
                </w:p>
              </w:tc>
            </w:tr>
            <w:tr w:rsidR="003E5D14" w:rsidRPr="0009691C" w14:paraId="237494BC"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6FBF4024"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Prefer to self-describe</w:t>
                  </w:r>
                </w:p>
              </w:tc>
              <w:tc>
                <w:tcPr>
                  <w:tcW w:w="1989" w:type="dxa"/>
                  <w:tcBorders>
                    <w:top w:val="nil"/>
                    <w:left w:val="nil"/>
                    <w:bottom w:val="single" w:sz="4" w:space="0" w:color="auto"/>
                    <w:right w:val="single" w:sz="4" w:space="0" w:color="auto"/>
                  </w:tcBorders>
                  <w:noWrap/>
                  <w:vAlign w:val="bottom"/>
                  <w:hideMark/>
                </w:tcPr>
                <w:p w14:paraId="170C9313"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 </w:t>
                  </w:r>
                </w:p>
              </w:tc>
              <w:tc>
                <w:tcPr>
                  <w:tcW w:w="2058" w:type="dxa"/>
                  <w:tcBorders>
                    <w:top w:val="nil"/>
                    <w:left w:val="nil"/>
                    <w:bottom w:val="single" w:sz="4" w:space="0" w:color="auto"/>
                    <w:right w:val="single" w:sz="4" w:space="0" w:color="auto"/>
                  </w:tcBorders>
                  <w:noWrap/>
                  <w:vAlign w:val="bottom"/>
                  <w:hideMark/>
                </w:tcPr>
                <w:p w14:paraId="58730C41"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 </w:t>
                  </w:r>
                </w:p>
              </w:tc>
              <w:tc>
                <w:tcPr>
                  <w:tcW w:w="2393" w:type="dxa"/>
                  <w:tcBorders>
                    <w:top w:val="nil"/>
                    <w:left w:val="nil"/>
                    <w:bottom w:val="single" w:sz="4" w:space="0" w:color="auto"/>
                    <w:right w:val="single" w:sz="4" w:space="0" w:color="auto"/>
                  </w:tcBorders>
                  <w:noWrap/>
                  <w:vAlign w:val="bottom"/>
                  <w:hideMark/>
                </w:tcPr>
                <w:p w14:paraId="50A9F6F9"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0.02%</w:t>
                  </w:r>
                </w:p>
              </w:tc>
            </w:tr>
            <w:tr w:rsidR="003E5D14" w:rsidRPr="0009691C" w14:paraId="264D55D6"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4A7AC7D0"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Unknown</w:t>
                  </w:r>
                </w:p>
              </w:tc>
              <w:tc>
                <w:tcPr>
                  <w:tcW w:w="1989" w:type="dxa"/>
                  <w:tcBorders>
                    <w:top w:val="nil"/>
                    <w:left w:val="nil"/>
                    <w:bottom w:val="single" w:sz="4" w:space="0" w:color="auto"/>
                    <w:right w:val="single" w:sz="4" w:space="0" w:color="auto"/>
                  </w:tcBorders>
                  <w:noWrap/>
                  <w:vAlign w:val="bottom"/>
                  <w:hideMark/>
                </w:tcPr>
                <w:p w14:paraId="63505665"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75</w:t>
                  </w:r>
                </w:p>
              </w:tc>
              <w:tc>
                <w:tcPr>
                  <w:tcW w:w="2058" w:type="dxa"/>
                  <w:tcBorders>
                    <w:top w:val="nil"/>
                    <w:left w:val="nil"/>
                    <w:bottom w:val="single" w:sz="4" w:space="0" w:color="auto"/>
                    <w:right w:val="single" w:sz="4" w:space="0" w:color="auto"/>
                  </w:tcBorders>
                  <w:noWrap/>
                  <w:vAlign w:val="bottom"/>
                  <w:hideMark/>
                </w:tcPr>
                <w:p w14:paraId="1C0F46BF"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23.36%</w:t>
                  </w:r>
                </w:p>
              </w:tc>
              <w:tc>
                <w:tcPr>
                  <w:tcW w:w="2393" w:type="dxa"/>
                  <w:tcBorders>
                    <w:top w:val="nil"/>
                    <w:left w:val="nil"/>
                    <w:bottom w:val="single" w:sz="4" w:space="0" w:color="auto"/>
                    <w:right w:val="single" w:sz="4" w:space="0" w:color="auto"/>
                  </w:tcBorders>
                  <w:noWrap/>
                  <w:vAlign w:val="bottom"/>
                  <w:hideMark/>
                </w:tcPr>
                <w:p w14:paraId="1119D000"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30.05%</w:t>
                  </w:r>
                </w:p>
              </w:tc>
            </w:tr>
            <w:tr w:rsidR="003E5D14" w:rsidRPr="0009691C" w14:paraId="0DC7E0F6" w14:textId="77777777" w:rsidTr="003E5D14">
              <w:trPr>
                <w:trHeight w:val="346"/>
              </w:trPr>
              <w:tc>
                <w:tcPr>
                  <w:tcW w:w="3436" w:type="dxa"/>
                  <w:tcBorders>
                    <w:top w:val="nil"/>
                    <w:left w:val="single" w:sz="4" w:space="0" w:color="auto"/>
                    <w:bottom w:val="single" w:sz="4" w:space="0" w:color="auto"/>
                    <w:right w:val="single" w:sz="4" w:space="0" w:color="auto"/>
                  </w:tcBorders>
                  <w:noWrap/>
                  <w:vAlign w:val="bottom"/>
                  <w:hideMark/>
                </w:tcPr>
                <w:p w14:paraId="7FE2B14E"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unsure / Don't know</w:t>
                  </w:r>
                </w:p>
              </w:tc>
              <w:tc>
                <w:tcPr>
                  <w:tcW w:w="1989" w:type="dxa"/>
                  <w:tcBorders>
                    <w:top w:val="nil"/>
                    <w:left w:val="nil"/>
                    <w:bottom w:val="single" w:sz="4" w:space="0" w:color="auto"/>
                    <w:right w:val="single" w:sz="4" w:space="0" w:color="auto"/>
                  </w:tcBorders>
                  <w:noWrap/>
                  <w:vAlign w:val="bottom"/>
                  <w:hideMark/>
                </w:tcPr>
                <w:p w14:paraId="36B8F0E0"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 </w:t>
                  </w:r>
                </w:p>
              </w:tc>
              <w:tc>
                <w:tcPr>
                  <w:tcW w:w="2058" w:type="dxa"/>
                  <w:tcBorders>
                    <w:top w:val="nil"/>
                    <w:left w:val="nil"/>
                    <w:bottom w:val="single" w:sz="4" w:space="0" w:color="auto"/>
                    <w:right w:val="single" w:sz="4" w:space="0" w:color="auto"/>
                  </w:tcBorders>
                  <w:noWrap/>
                  <w:vAlign w:val="bottom"/>
                  <w:hideMark/>
                </w:tcPr>
                <w:p w14:paraId="6FFD9ECF" w14:textId="77777777" w:rsidR="003E5D14" w:rsidRPr="0009691C" w:rsidRDefault="003E5D14" w:rsidP="003E5D14">
                  <w:pPr>
                    <w:rPr>
                      <w:rFonts w:ascii="Work Sans" w:hAnsi="Work Sans" w:cs="Arial"/>
                      <w:sz w:val="22"/>
                      <w:szCs w:val="22"/>
                    </w:rPr>
                  </w:pPr>
                  <w:r w:rsidRPr="0009691C">
                    <w:rPr>
                      <w:rFonts w:ascii="Work Sans" w:hAnsi="Work Sans" w:cs="Arial"/>
                      <w:sz w:val="22"/>
                      <w:szCs w:val="22"/>
                    </w:rPr>
                    <w:t> </w:t>
                  </w:r>
                </w:p>
              </w:tc>
              <w:tc>
                <w:tcPr>
                  <w:tcW w:w="2393" w:type="dxa"/>
                  <w:tcBorders>
                    <w:top w:val="nil"/>
                    <w:left w:val="nil"/>
                    <w:bottom w:val="single" w:sz="4" w:space="0" w:color="auto"/>
                    <w:right w:val="single" w:sz="4" w:space="0" w:color="auto"/>
                  </w:tcBorders>
                  <w:noWrap/>
                  <w:vAlign w:val="bottom"/>
                  <w:hideMark/>
                </w:tcPr>
                <w:p w14:paraId="6FC25871" w14:textId="77777777" w:rsidR="003E5D14" w:rsidRPr="0009691C" w:rsidRDefault="003E5D14" w:rsidP="003E5D14">
                  <w:pPr>
                    <w:jc w:val="right"/>
                    <w:rPr>
                      <w:rFonts w:ascii="Work Sans" w:hAnsi="Work Sans" w:cs="Arial"/>
                      <w:sz w:val="22"/>
                      <w:szCs w:val="22"/>
                    </w:rPr>
                  </w:pPr>
                  <w:r w:rsidRPr="0009691C">
                    <w:rPr>
                      <w:rFonts w:ascii="Work Sans" w:hAnsi="Work Sans" w:cs="Arial"/>
                      <w:sz w:val="22"/>
                      <w:szCs w:val="22"/>
                    </w:rPr>
                    <w:t>0.05%</w:t>
                  </w:r>
                </w:p>
              </w:tc>
            </w:tr>
          </w:tbl>
          <w:p w14:paraId="4A564075" w14:textId="77777777" w:rsidR="0081570F" w:rsidRDefault="0081570F" w:rsidP="001B119F">
            <w:pPr>
              <w:spacing w:before="60" w:after="120"/>
              <w:ind w:left="794"/>
              <w:jc w:val="both"/>
              <w:rPr>
                <w:rFonts w:ascii="Work Sans" w:eastAsia="Work Sans" w:hAnsi="Work Sans" w:cs="Work Sans"/>
                <w:b/>
                <w:bCs/>
              </w:rPr>
            </w:pPr>
          </w:p>
          <w:p w14:paraId="5EA08998" w14:textId="77777777" w:rsidR="001B119F" w:rsidRPr="0009691C" w:rsidRDefault="001B119F" w:rsidP="001B119F">
            <w:pPr>
              <w:spacing w:before="60" w:after="120"/>
              <w:ind w:left="794"/>
              <w:jc w:val="both"/>
              <w:rPr>
                <w:rFonts w:ascii="Work Sans" w:eastAsia="Work Sans" w:hAnsi="Work Sans" w:cs="Work Sans"/>
                <w:b/>
                <w:bCs/>
              </w:rPr>
            </w:pPr>
            <w:r w:rsidRPr="0009691C">
              <w:rPr>
                <w:rFonts w:ascii="Work Sans" w:eastAsia="Work Sans" w:hAnsi="Work Sans" w:cs="Work Sans"/>
                <w:b/>
                <w:bCs/>
              </w:rPr>
              <w:t xml:space="preserve">Faith and Belief </w:t>
            </w:r>
          </w:p>
          <w:p w14:paraId="763F86FA" w14:textId="5B737037" w:rsidR="001B119F" w:rsidRPr="0009691C" w:rsidRDefault="00F654B5" w:rsidP="0019179A">
            <w:pPr>
              <w:pStyle w:val="ListParagraph"/>
              <w:numPr>
                <w:ilvl w:val="1"/>
                <w:numId w:val="1"/>
              </w:numPr>
              <w:spacing w:before="60" w:after="120"/>
              <w:ind w:left="794" w:hanging="794"/>
              <w:jc w:val="both"/>
              <w:rPr>
                <w:rFonts w:ascii="Work Sans" w:eastAsia="Work Sans" w:hAnsi="Work Sans"/>
              </w:rPr>
            </w:pPr>
            <w:r w:rsidRPr="0009691C">
              <w:rPr>
                <w:rFonts w:ascii="Work Sans" w:eastAsia="Work Sans" w:hAnsi="Work Sans"/>
              </w:rPr>
              <w:t>Data on</w:t>
            </w:r>
            <w:r w:rsidR="001B119F" w:rsidRPr="0009691C">
              <w:rPr>
                <w:rFonts w:ascii="Work Sans" w:eastAsia="Work Sans" w:hAnsi="Work Sans"/>
              </w:rPr>
              <w:t xml:space="preserve"> Faith or Belief </w:t>
            </w:r>
            <w:r w:rsidRPr="0009691C">
              <w:rPr>
                <w:rFonts w:ascii="Work Sans" w:eastAsia="Work Sans" w:hAnsi="Work Sans"/>
              </w:rPr>
              <w:t xml:space="preserve">shows a similar </w:t>
            </w:r>
            <w:r w:rsidR="009D5482" w:rsidRPr="0009691C">
              <w:rPr>
                <w:rFonts w:ascii="Work Sans" w:eastAsia="Work Sans" w:hAnsi="Work Sans" w:cs="Work Sans"/>
              </w:rPr>
              <w:t>correlation between the number of customers and complaints in</w:t>
            </w:r>
            <w:r w:rsidR="009F296C" w:rsidRPr="0009691C">
              <w:rPr>
                <w:rFonts w:ascii="Work Sans" w:eastAsia="Work Sans" w:hAnsi="Work Sans" w:cs="Work Sans"/>
              </w:rPr>
              <w:t xml:space="preserve"> all</w:t>
            </w:r>
            <w:r w:rsidR="009D5482" w:rsidRPr="0009691C">
              <w:rPr>
                <w:rFonts w:ascii="Work Sans" w:eastAsia="Work Sans" w:hAnsi="Work Sans" w:cs="Work Sans"/>
              </w:rPr>
              <w:t xml:space="preserve"> categories.</w:t>
            </w:r>
            <w:r w:rsidR="009F296C" w:rsidRPr="0009691C">
              <w:rPr>
                <w:rFonts w:ascii="Work Sans" w:eastAsia="Work Sans" w:hAnsi="Work Sans" w:cs="Work Sans"/>
              </w:rPr>
              <w:t xml:space="preserve"> </w:t>
            </w:r>
            <w:r w:rsidR="009F296C" w:rsidRPr="0009691C">
              <w:rPr>
                <w:rFonts w:ascii="Work Sans" w:eastAsia="Work Sans" w:hAnsi="Work Sans"/>
              </w:rPr>
              <w:t xml:space="preserve"> </w:t>
            </w:r>
            <w:r w:rsidR="001B119F" w:rsidRPr="0009691C">
              <w:rPr>
                <w:rFonts w:ascii="Work Sans" w:eastAsia="Work Sans" w:hAnsi="Work Sans"/>
              </w:rPr>
              <w:t xml:space="preserve">We will continue to monitor these groups </w:t>
            </w:r>
            <w:r w:rsidR="00C4228B" w:rsidRPr="0009691C">
              <w:rPr>
                <w:rFonts w:ascii="Work Sans" w:eastAsia="Work Sans" w:hAnsi="Work Sans"/>
              </w:rPr>
              <w:t xml:space="preserve">as better data is collected </w:t>
            </w:r>
            <w:r w:rsidR="001B119F" w:rsidRPr="0009691C">
              <w:rPr>
                <w:rFonts w:ascii="Work Sans" w:eastAsia="Work Sans" w:hAnsi="Work Sans"/>
              </w:rPr>
              <w:t>to see if there are any emerging</w:t>
            </w:r>
            <w:r w:rsidR="00C4228B" w:rsidRPr="0009691C">
              <w:rPr>
                <w:rFonts w:ascii="Work Sans" w:eastAsia="Work Sans" w:hAnsi="Work Sans"/>
              </w:rPr>
              <w:t xml:space="preserve"> trends.</w:t>
            </w:r>
          </w:p>
          <w:tbl>
            <w:tblPr>
              <w:tblW w:w="9817" w:type="dxa"/>
              <w:tblLook w:val="04A0" w:firstRow="1" w:lastRow="0" w:firstColumn="1" w:lastColumn="0" w:noHBand="0" w:noVBand="1"/>
            </w:tblPr>
            <w:tblGrid>
              <w:gridCol w:w="3711"/>
              <w:gridCol w:w="1681"/>
              <w:gridCol w:w="2046"/>
              <w:gridCol w:w="2379"/>
            </w:tblGrid>
            <w:tr w:rsidR="00CF6040" w:rsidRPr="0009691C" w14:paraId="1968E3E8" w14:textId="77777777" w:rsidTr="00CF6040">
              <w:trPr>
                <w:trHeight w:val="978"/>
              </w:trPr>
              <w:tc>
                <w:tcPr>
                  <w:tcW w:w="3711" w:type="dxa"/>
                  <w:tcBorders>
                    <w:top w:val="single" w:sz="4" w:space="0" w:color="auto"/>
                    <w:left w:val="single" w:sz="4" w:space="0" w:color="auto"/>
                    <w:bottom w:val="single" w:sz="4" w:space="0" w:color="auto"/>
                    <w:right w:val="single" w:sz="4" w:space="0" w:color="auto"/>
                  </w:tcBorders>
                  <w:shd w:val="clear" w:color="000000" w:fill="C4BD97"/>
                  <w:noWrap/>
                  <w:vAlign w:val="center"/>
                  <w:hideMark/>
                </w:tcPr>
                <w:p w14:paraId="4A18C3A2" w14:textId="77777777" w:rsidR="00CF6040" w:rsidRPr="0009691C" w:rsidRDefault="00CF6040" w:rsidP="00CF6040">
                  <w:pPr>
                    <w:jc w:val="center"/>
                    <w:rPr>
                      <w:rFonts w:ascii="Work Sans" w:hAnsi="Work Sans" w:cs="Arial"/>
                      <w:b/>
                      <w:bCs/>
                      <w:sz w:val="22"/>
                      <w:szCs w:val="22"/>
                    </w:rPr>
                  </w:pPr>
                  <w:r w:rsidRPr="0009691C">
                    <w:rPr>
                      <w:rFonts w:ascii="Work Sans" w:hAnsi="Work Sans" w:cs="Arial"/>
                      <w:b/>
                      <w:bCs/>
                      <w:sz w:val="22"/>
                      <w:szCs w:val="22"/>
                    </w:rPr>
                    <w:t>Faith and Belief</w:t>
                  </w:r>
                </w:p>
              </w:tc>
              <w:tc>
                <w:tcPr>
                  <w:tcW w:w="1681" w:type="dxa"/>
                  <w:tcBorders>
                    <w:top w:val="single" w:sz="4" w:space="0" w:color="auto"/>
                    <w:left w:val="nil"/>
                    <w:bottom w:val="single" w:sz="4" w:space="0" w:color="auto"/>
                    <w:right w:val="single" w:sz="4" w:space="0" w:color="auto"/>
                  </w:tcBorders>
                  <w:shd w:val="clear" w:color="000000" w:fill="C4BD97"/>
                  <w:vAlign w:val="center"/>
                  <w:hideMark/>
                </w:tcPr>
                <w:p w14:paraId="33160720" w14:textId="77777777" w:rsidR="00CF6040" w:rsidRPr="0009691C" w:rsidRDefault="00CF6040" w:rsidP="00CF6040">
                  <w:pPr>
                    <w:jc w:val="center"/>
                    <w:rPr>
                      <w:rFonts w:ascii="Work Sans" w:hAnsi="Work Sans" w:cs="Arial"/>
                      <w:b/>
                      <w:bCs/>
                      <w:sz w:val="22"/>
                      <w:szCs w:val="22"/>
                    </w:rPr>
                  </w:pPr>
                  <w:r w:rsidRPr="0009691C">
                    <w:rPr>
                      <w:rFonts w:ascii="Work Sans" w:hAnsi="Work Sans" w:cs="Arial"/>
                      <w:b/>
                      <w:bCs/>
                      <w:sz w:val="22"/>
                      <w:szCs w:val="22"/>
                    </w:rPr>
                    <w:t>Number of Customers who made a complaint</w:t>
                  </w:r>
                </w:p>
              </w:tc>
              <w:tc>
                <w:tcPr>
                  <w:tcW w:w="2046" w:type="dxa"/>
                  <w:tcBorders>
                    <w:top w:val="single" w:sz="4" w:space="0" w:color="auto"/>
                    <w:left w:val="nil"/>
                    <w:bottom w:val="single" w:sz="4" w:space="0" w:color="auto"/>
                    <w:right w:val="single" w:sz="4" w:space="0" w:color="auto"/>
                  </w:tcBorders>
                  <w:shd w:val="clear" w:color="000000" w:fill="C4BD97"/>
                  <w:vAlign w:val="center"/>
                  <w:hideMark/>
                </w:tcPr>
                <w:p w14:paraId="6F1C3854" w14:textId="77777777" w:rsidR="00CF6040" w:rsidRPr="0009691C" w:rsidRDefault="00CF6040" w:rsidP="00CF6040">
                  <w:pPr>
                    <w:jc w:val="center"/>
                    <w:rPr>
                      <w:rFonts w:ascii="Work Sans" w:hAnsi="Work Sans" w:cs="Arial"/>
                      <w:b/>
                      <w:bCs/>
                      <w:sz w:val="22"/>
                      <w:szCs w:val="22"/>
                    </w:rPr>
                  </w:pPr>
                  <w:r w:rsidRPr="0009691C">
                    <w:rPr>
                      <w:rFonts w:ascii="Work Sans" w:hAnsi="Work Sans" w:cs="Arial"/>
                      <w:b/>
                      <w:bCs/>
                      <w:sz w:val="22"/>
                      <w:szCs w:val="22"/>
                    </w:rPr>
                    <w:t>% of customers who made a complaint</w:t>
                  </w:r>
                </w:p>
              </w:tc>
              <w:tc>
                <w:tcPr>
                  <w:tcW w:w="2379" w:type="dxa"/>
                  <w:tcBorders>
                    <w:top w:val="single" w:sz="4" w:space="0" w:color="auto"/>
                    <w:left w:val="nil"/>
                    <w:bottom w:val="single" w:sz="4" w:space="0" w:color="auto"/>
                    <w:right w:val="single" w:sz="4" w:space="0" w:color="auto"/>
                  </w:tcBorders>
                  <w:shd w:val="clear" w:color="000000" w:fill="C4BD97"/>
                  <w:noWrap/>
                  <w:vAlign w:val="center"/>
                  <w:hideMark/>
                </w:tcPr>
                <w:p w14:paraId="28A9E953" w14:textId="77777777" w:rsidR="00CF6040" w:rsidRPr="0009691C" w:rsidRDefault="00CF6040" w:rsidP="00CF6040">
                  <w:pPr>
                    <w:jc w:val="center"/>
                    <w:rPr>
                      <w:rFonts w:ascii="Work Sans" w:hAnsi="Work Sans" w:cs="Arial"/>
                      <w:b/>
                      <w:bCs/>
                      <w:sz w:val="22"/>
                      <w:szCs w:val="22"/>
                    </w:rPr>
                  </w:pPr>
                  <w:r w:rsidRPr="0009691C">
                    <w:rPr>
                      <w:rFonts w:ascii="Work Sans" w:hAnsi="Work Sans" w:cs="Arial"/>
                      <w:b/>
                      <w:bCs/>
                      <w:sz w:val="22"/>
                      <w:szCs w:val="22"/>
                    </w:rPr>
                    <w:t>% of all SYHA Tenants</w:t>
                  </w:r>
                </w:p>
              </w:tc>
            </w:tr>
            <w:tr w:rsidR="00CF6040" w:rsidRPr="0009691C" w14:paraId="06891001"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67FBEB15"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Buddhism</w:t>
                  </w:r>
                </w:p>
              </w:tc>
              <w:tc>
                <w:tcPr>
                  <w:tcW w:w="1681" w:type="dxa"/>
                  <w:tcBorders>
                    <w:top w:val="nil"/>
                    <w:left w:val="nil"/>
                    <w:bottom w:val="single" w:sz="4" w:space="0" w:color="auto"/>
                    <w:right w:val="single" w:sz="4" w:space="0" w:color="auto"/>
                  </w:tcBorders>
                  <w:noWrap/>
                  <w:vAlign w:val="bottom"/>
                  <w:hideMark/>
                </w:tcPr>
                <w:p w14:paraId="4676807C"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046" w:type="dxa"/>
                  <w:tcBorders>
                    <w:top w:val="nil"/>
                    <w:left w:val="nil"/>
                    <w:bottom w:val="single" w:sz="4" w:space="0" w:color="auto"/>
                    <w:right w:val="single" w:sz="4" w:space="0" w:color="auto"/>
                  </w:tcBorders>
                  <w:noWrap/>
                  <w:vAlign w:val="bottom"/>
                  <w:hideMark/>
                </w:tcPr>
                <w:p w14:paraId="4B2BF88D"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379" w:type="dxa"/>
                  <w:tcBorders>
                    <w:top w:val="nil"/>
                    <w:left w:val="nil"/>
                    <w:bottom w:val="single" w:sz="4" w:space="0" w:color="auto"/>
                    <w:right w:val="single" w:sz="4" w:space="0" w:color="auto"/>
                  </w:tcBorders>
                  <w:noWrap/>
                  <w:vAlign w:val="bottom"/>
                  <w:hideMark/>
                </w:tcPr>
                <w:p w14:paraId="70EB1B73"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0.13%</w:t>
                  </w:r>
                </w:p>
              </w:tc>
            </w:tr>
            <w:tr w:rsidR="00CF6040" w:rsidRPr="0009691C" w14:paraId="3FEAA4D8"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5337A857"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Catholic</w:t>
                  </w:r>
                </w:p>
              </w:tc>
              <w:tc>
                <w:tcPr>
                  <w:tcW w:w="1681" w:type="dxa"/>
                  <w:tcBorders>
                    <w:top w:val="nil"/>
                    <w:left w:val="nil"/>
                    <w:bottom w:val="single" w:sz="4" w:space="0" w:color="auto"/>
                    <w:right w:val="single" w:sz="4" w:space="0" w:color="auto"/>
                  </w:tcBorders>
                  <w:noWrap/>
                  <w:vAlign w:val="bottom"/>
                  <w:hideMark/>
                </w:tcPr>
                <w:p w14:paraId="1941F15E"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w:t>
                  </w:r>
                </w:p>
              </w:tc>
              <w:tc>
                <w:tcPr>
                  <w:tcW w:w="2046" w:type="dxa"/>
                  <w:tcBorders>
                    <w:top w:val="nil"/>
                    <w:left w:val="nil"/>
                    <w:bottom w:val="single" w:sz="4" w:space="0" w:color="auto"/>
                    <w:right w:val="single" w:sz="4" w:space="0" w:color="auto"/>
                  </w:tcBorders>
                  <w:noWrap/>
                  <w:vAlign w:val="bottom"/>
                  <w:hideMark/>
                </w:tcPr>
                <w:p w14:paraId="11D55BDF"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0.31%</w:t>
                  </w:r>
                </w:p>
              </w:tc>
              <w:tc>
                <w:tcPr>
                  <w:tcW w:w="2379" w:type="dxa"/>
                  <w:tcBorders>
                    <w:top w:val="nil"/>
                    <w:left w:val="nil"/>
                    <w:bottom w:val="single" w:sz="4" w:space="0" w:color="auto"/>
                    <w:right w:val="single" w:sz="4" w:space="0" w:color="auto"/>
                  </w:tcBorders>
                  <w:noWrap/>
                  <w:vAlign w:val="bottom"/>
                  <w:hideMark/>
                </w:tcPr>
                <w:p w14:paraId="413240BF"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0.79%</w:t>
                  </w:r>
                </w:p>
              </w:tc>
            </w:tr>
            <w:tr w:rsidR="00CF6040" w:rsidRPr="0009691C" w14:paraId="1C74F127" w14:textId="77777777" w:rsidTr="0081570F">
              <w:trPr>
                <w:trHeight w:val="340"/>
              </w:trPr>
              <w:tc>
                <w:tcPr>
                  <w:tcW w:w="3711" w:type="dxa"/>
                  <w:tcBorders>
                    <w:top w:val="nil"/>
                    <w:left w:val="single" w:sz="4" w:space="0" w:color="auto"/>
                    <w:bottom w:val="single" w:sz="4" w:space="0" w:color="auto"/>
                    <w:right w:val="single" w:sz="4" w:space="0" w:color="auto"/>
                  </w:tcBorders>
                  <w:noWrap/>
                  <w:vAlign w:val="bottom"/>
                  <w:hideMark/>
                </w:tcPr>
                <w:p w14:paraId="27C2DAEC"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Christianity (all denominations)</w:t>
                  </w:r>
                </w:p>
              </w:tc>
              <w:tc>
                <w:tcPr>
                  <w:tcW w:w="1681" w:type="dxa"/>
                  <w:tcBorders>
                    <w:top w:val="nil"/>
                    <w:left w:val="nil"/>
                    <w:bottom w:val="single" w:sz="4" w:space="0" w:color="auto"/>
                    <w:right w:val="single" w:sz="4" w:space="0" w:color="auto"/>
                  </w:tcBorders>
                  <w:noWrap/>
                  <w:vAlign w:val="bottom"/>
                  <w:hideMark/>
                </w:tcPr>
                <w:p w14:paraId="79554B26"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69</w:t>
                  </w:r>
                </w:p>
              </w:tc>
              <w:tc>
                <w:tcPr>
                  <w:tcW w:w="2046" w:type="dxa"/>
                  <w:tcBorders>
                    <w:top w:val="nil"/>
                    <w:left w:val="nil"/>
                    <w:bottom w:val="single" w:sz="4" w:space="0" w:color="auto"/>
                    <w:right w:val="single" w:sz="4" w:space="0" w:color="auto"/>
                  </w:tcBorders>
                  <w:noWrap/>
                  <w:vAlign w:val="bottom"/>
                  <w:hideMark/>
                </w:tcPr>
                <w:p w14:paraId="5830F294"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21.50%</w:t>
                  </w:r>
                </w:p>
              </w:tc>
              <w:tc>
                <w:tcPr>
                  <w:tcW w:w="2379" w:type="dxa"/>
                  <w:tcBorders>
                    <w:top w:val="nil"/>
                    <w:left w:val="nil"/>
                    <w:bottom w:val="single" w:sz="4" w:space="0" w:color="auto"/>
                    <w:right w:val="single" w:sz="4" w:space="0" w:color="auto"/>
                  </w:tcBorders>
                  <w:noWrap/>
                  <w:vAlign w:val="bottom"/>
                  <w:hideMark/>
                </w:tcPr>
                <w:p w14:paraId="68D708AE"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22.06%</w:t>
                  </w:r>
                </w:p>
              </w:tc>
            </w:tr>
            <w:tr w:rsidR="00CF6040" w:rsidRPr="0009691C" w14:paraId="2B9CBFF5"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4D5414E6"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Church of England</w:t>
                  </w:r>
                </w:p>
              </w:tc>
              <w:tc>
                <w:tcPr>
                  <w:tcW w:w="1681" w:type="dxa"/>
                  <w:tcBorders>
                    <w:top w:val="nil"/>
                    <w:left w:val="nil"/>
                    <w:bottom w:val="single" w:sz="4" w:space="0" w:color="auto"/>
                    <w:right w:val="single" w:sz="4" w:space="0" w:color="auto"/>
                  </w:tcBorders>
                  <w:noWrap/>
                  <w:vAlign w:val="bottom"/>
                  <w:hideMark/>
                </w:tcPr>
                <w:p w14:paraId="2DB28A15"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4</w:t>
                  </w:r>
                </w:p>
              </w:tc>
              <w:tc>
                <w:tcPr>
                  <w:tcW w:w="2046" w:type="dxa"/>
                  <w:tcBorders>
                    <w:top w:val="nil"/>
                    <w:left w:val="nil"/>
                    <w:bottom w:val="single" w:sz="4" w:space="0" w:color="auto"/>
                    <w:right w:val="single" w:sz="4" w:space="0" w:color="auto"/>
                  </w:tcBorders>
                  <w:noWrap/>
                  <w:vAlign w:val="bottom"/>
                  <w:hideMark/>
                </w:tcPr>
                <w:p w14:paraId="356808E4"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1.25%</w:t>
                  </w:r>
                </w:p>
              </w:tc>
              <w:tc>
                <w:tcPr>
                  <w:tcW w:w="2379" w:type="dxa"/>
                  <w:tcBorders>
                    <w:top w:val="nil"/>
                    <w:left w:val="nil"/>
                    <w:bottom w:val="single" w:sz="4" w:space="0" w:color="auto"/>
                    <w:right w:val="single" w:sz="4" w:space="0" w:color="auto"/>
                  </w:tcBorders>
                  <w:noWrap/>
                  <w:vAlign w:val="bottom"/>
                  <w:hideMark/>
                </w:tcPr>
                <w:p w14:paraId="7329F4AF"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2.69%</w:t>
                  </w:r>
                </w:p>
              </w:tc>
            </w:tr>
            <w:tr w:rsidR="00CF6040" w:rsidRPr="0009691C" w14:paraId="2C5A3CD8" w14:textId="77777777" w:rsidTr="0081570F">
              <w:trPr>
                <w:trHeight w:val="340"/>
              </w:trPr>
              <w:tc>
                <w:tcPr>
                  <w:tcW w:w="3711" w:type="dxa"/>
                  <w:tcBorders>
                    <w:top w:val="nil"/>
                    <w:left w:val="single" w:sz="4" w:space="0" w:color="auto"/>
                    <w:bottom w:val="single" w:sz="4" w:space="0" w:color="auto"/>
                    <w:right w:val="single" w:sz="4" w:space="0" w:color="auto"/>
                  </w:tcBorders>
                  <w:noWrap/>
                  <w:vAlign w:val="bottom"/>
                  <w:hideMark/>
                </w:tcPr>
                <w:p w14:paraId="377CE083"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Did not answer the question</w:t>
                  </w:r>
                </w:p>
              </w:tc>
              <w:tc>
                <w:tcPr>
                  <w:tcW w:w="1681" w:type="dxa"/>
                  <w:tcBorders>
                    <w:top w:val="nil"/>
                    <w:left w:val="nil"/>
                    <w:bottom w:val="single" w:sz="4" w:space="0" w:color="auto"/>
                    <w:right w:val="single" w:sz="4" w:space="0" w:color="auto"/>
                  </w:tcBorders>
                  <w:noWrap/>
                  <w:vAlign w:val="bottom"/>
                  <w:hideMark/>
                </w:tcPr>
                <w:p w14:paraId="4CBDD882"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w:t>
                  </w:r>
                </w:p>
              </w:tc>
              <w:tc>
                <w:tcPr>
                  <w:tcW w:w="2046" w:type="dxa"/>
                  <w:tcBorders>
                    <w:top w:val="nil"/>
                    <w:left w:val="nil"/>
                    <w:bottom w:val="single" w:sz="4" w:space="0" w:color="auto"/>
                    <w:right w:val="single" w:sz="4" w:space="0" w:color="auto"/>
                  </w:tcBorders>
                  <w:noWrap/>
                  <w:vAlign w:val="bottom"/>
                  <w:hideMark/>
                </w:tcPr>
                <w:p w14:paraId="2A27C1AE"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0.31%</w:t>
                  </w:r>
                </w:p>
              </w:tc>
              <w:tc>
                <w:tcPr>
                  <w:tcW w:w="2379" w:type="dxa"/>
                  <w:tcBorders>
                    <w:top w:val="nil"/>
                    <w:left w:val="nil"/>
                    <w:bottom w:val="single" w:sz="4" w:space="0" w:color="auto"/>
                    <w:right w:val="single" w:sz="4" w:space="0" w:color="auto"/>
                  </w:tcBorders>
                  <w:noWrap/>
                  <w:vAlign w:val="bottom"/>
                  <w:hideMark/>
                </w:tcPr>
                <w:p w14:paraId="523DEA81"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0.22%</w:t>
                  </w:r>
                </w:p>
              </w:tc>
            </w:tr>
            <w:tr w:rsidR="00CF6040" w:rsidRPr="0009691C" w14:paraId="47AD927D"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1CDCE61D"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Hinduism</w:t>
                  </w:r>
                </w:p>
              </w:tc>
              <w:tc>
                <w:tcPr>
                  <w:tcW w:w="1681" w:type="dxa"/>
                  <w:tcBorders>
                    <w:top w:val="nil"/>
                    <w:left w:val="nil"/>
                    <w:bottom w:val="single" w:sz="4" w:space="0" w:color="auto"/>
                    <w:right w:val="single" w:sz="4" w:space="0" w:color="auto"/>
                  </w:tcBorders>
                  <w:noWrap/>
                  <w:vAlign w:val="bottom"/>
                  <w:hideMark/>
                </w:tcPr>
                <w:p w14:paraId="6174B07D"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046" w:type="dxa"/>
                  <w:tcBorders>
                    <w:top w:val="nil"/>
                    <w:left w:val="nil"/>
                    <w:bottom w:val="single" w:sz="4" w:space="0" w:color="auto"/>
                    <w:right w:val="single" w:sz="4" w:space="0" w:color="auto"/>
                  </w:tcBorders>
                  <w:noWrap/>
                  <w:vAlign w:val="bottom"/>
                  <w:hideMark/>
                </w:tcPr>
                <w:p w14:paraId="54A38FF7"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379" w:type="dxa"/>
                  <w:tcBorders>
                    <w:top w:val="nil"/>
                    <w:left w:val="nil"/>
                    <w:bottom w:val="single" w:sz="4" w:space="0" w:color="auto"/>
                    <w:right w:val="single" w:sz="4" w:space="0" w:color="auto"/>
                  </w:tcBorders>
                  <w:noWrap/>
                  <w:vAlign w:val="bottom"/>
                  <w:hideMark/>
                </w:tcPr>
                <w:p w14:paraId="21D6C76E"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0.06%</w:t>
                  </w:r>
                </w:p>
              </w:tc>
            </w:tr>
            <w:tr w:rsidR="00CF6040" w:rsidRPr="0009691C" w14:paraId="0F3A8208"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68D9A2D8"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Islam</w:t>
                  </w:r>
                </w:p>
              </w:tc>
              <w:tc>
                <w:tcPr>
                  <w:tcW w:w="1681" w:type="dxa"/>
                  <w:tcBorders>
                    <w:top w:val="nil"/>
                    <w:left w:val="nil"/>
                    <w:bottom w:val="single" w:sz="4" w:space="0" w:color="auto"/>
                    <w:right w:val="single" w:sz="4" w:space="0" w:color="auto"/>
                  </w:tcBorders>
                  <w:noWrap/>
                  <w:vAlign w:val="bottom"/>
                  <w:hideMark/>
                </w:tcPr>
                <w:p w14:paraId="004925B8"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22</w:t>
                  </w:r>
                </w:p>
              </w:tc>
              <w:tc>
                <w:tcPr>
                  <w:tcW w:w="2046" w:type="dxa"/>
                  <w:tcBorders>
                    <w:top w:val="nil"/>
                    <w:left w:val="nil"/>
                    <w:bottom w:val="single" w:sz="4" w:space="0" w:color="auto"/>
                    <w:right w:val="single" w:sz="4" w:space="0" w:color="auto"/>
                  </w:tcBorders>
                  <w:noWrap/>
                  <w:vAlign w:val="bottom"/>
                  <w:hideMark/>
                </w:tcPr>
                <w:p w14:paraId="1138B0E1"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6.85%</w:t>
                  </w:r>
                </w:p>
              </w:tc>
              <w:tc>
                <w:tcPr>
                  <w:tcW w:w="2379" w:type="dxa"/>
                  <w:tcBorders>
                    <w:top w:val="nil"/>
                    <w:left w:val="nil"/>
                    <w:bottom w:val="single" w:sz="4" w:space="0" w:color="auto"/>
                    <w:right w:val="single" w:sz="4" w:space="0" w:color="auto"/>
                  </w:tcBorders>
                  <w:noWrap/>
                  <w:vAlign w:val="bottom"/>
                  <w:hideMark/>
                </w:tcPr>
                <w:p w14:paraId="46E66196"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6.63%</w:t>
                  </w:r>
                </w:p>
              </w:tc>
            </w:tr>
            <w:tr w:rsidR="00CF6040" w:rsidRPr="0009691C" w14:paraId="142640E7"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529B1DFC"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No Faith or Belief</w:t>
                  </w:r>
                </w:p>
              </w:tc>
              <w:tc>
                <w:tcPr>
                  <w:tcW w:w="1681" w:type="dxa"/>
                  <w:tcBorders>
                    <w:top w:val="nil"/>
                    <w:left w:val="nil"/>
                    <w:bottom w:val="single" w:sz="4" w:space="0" w:color="auto"/>
                    <w:right w:val="single" w:sz="4" w:space="0" w:color="auto"/>
                  </w:tcBorders>
                  <w:noWrap/>
                  <w:vAlign w:val="bottom"/>
                  <w:hideMark/>
                </w:tcPr>
                <w:p w14:paraId="23DA256A"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131</w:t>
                  </w:r>
                </w:p>
              </w:tc>
              <w:tc>
                <w:tcPr>
                  <w:tcW w:w="2046" w:type="dxa"/>
                  <w:tcBorders>
                    <w:top w:val="nil"/>
                    <w:left w:val="nil"/>
                    <w:bottom w:val="single" w:sz="4" w:space="0" w:color="auto"/>
                    <w:right w:val="single" w:sz="4" w:space="0" w:color="auto"/>
                  </w:tcBorders>
                  <w:noWrap/>
                  <w:vAlign w:val="bottom"/>
                  <w:hideMark/>
                </w:tcPr>
                <w:p w14:paraId="02DA1752"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40.81%</w:t>
                  </w:r>
                </w:p>
              </w:tc>
              <w:tc>
                <w:tcPr>
                  <w:tcW w:w="2379" w:type="dxa"/>
                  <w:tcBorders>
                    <w:top w:val="nil"/>
                    <w:left w:val="nil"/>
                    <w:bottom w:val="single" w:sz="4" w:space="0" w:color="auto"/>
                    <w:right w:val="single" w:sz="4" w:space="0" w:color="auto"/>
                  </w:tcBorders>
                  <w:noWrap/>
                  <w:vAlign w:val="bottom"/>
                  <w:hideMark/>
                </w:tcPr>
                <w:p w14:paraId="03BD6708"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29.78%</w:t>
                  </w:r>
                </w:p>
              </w:tc>
            </w:tr>
            <w:tr w:rsidR="00CF6040" w:rsidRPr="0009691C" w14:paraId="05CA0AC5" w14:textId="77777777" w:rsidTr="0081570F">
              <w:trPr>
                <w:trHeight w:val="340"/>
              </w:trPr>
              <w:tc>
                <w:tcPr>
                  <w:tcW w:w="3711" w:type="dxa"/>
                  <w:tcBorders>
                    <w:top w:val="nil"/>
                    <w:left w:val="single" w:sz="4" w:space="0" w:color="auto"/>
                    <w:bottom w:val="single" w:sz="4" w:space="0" w:color="auto"/>
                    <w:right w:val="single" w:sz="4" w:space="0" w:color="auto"/>
                  </w:tcBorders>
                  <w:noWrap/>
                  <w:vAlign w:val="bottom"/>
                  <w:hideMark/>
                </w:tcPr>
                <w:p w14:paraId="1A94A1B9"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Other Faith or Belief</w:t>
                  </w:r>
                </w:p>
              </w:tc>
              <w:tc>
                <w:tcPr>
                  <w:tcW w:w="1681" w:type="dxa"/>
                  <w:tcBorders>
                    <w:top w:val="nil"/>
                    <w:left w:val="nil"/>
                    <w:bottom w:val="single" w:sz="4" w:space="0" w:color="auto"/>
                    <w:right w:val="single" w:sz="4" w:space="0" w:color="auto"/>
                  </w:tcBorders>
                  <w:noWrap/>
                  <w:vAlign w:val="bottom"/>
                  <w:hideMark/>
                </w:tcPr>
                <w:p w14:paraId="530CE932"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5</w:t>
                  </w:r>
                </w:p>
              </w:tc>
              <w:tc>
                <w:tcPr>
                  <w:tcW w:w="2046" w:type="dxa"/>
                  <w:tcBorders>
                    <w:top w:val="nil"/>
                    <w:left w:val="nil"/>
                    <w:bottom w:val="single" w:sz="4" w:space="0" w:color="auto"/>
                    <w:right w:val="single" w:sz="4" w:space="0" w:color="auto"/>
                  </w:tcBorders>
                  <w:noWrap/>
                  <w:vAlign w:val="bottom"/>
                  <w:hideMark/>
                </w:tcPr>
                <w:p w14:paraId="315B0117"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1.56%</w:t>
                  </w:r>
                </w:p>
              </w:tc>
              <w:tc>
                <w:tcPr>
                  <w:tcW w:w="2379" w:type="dxa"/>
                  <w:tcBorders>
                    <w:top w:val="nil"/>
                    <w:left w:val="nil"/>
                    <w:bottom w:val="single" w:sz="4" w:space="0" w:color="auto"/>
                    <w:right w:val="single" w:sz="4" w:space="0" w:color="auto"/>
                  </w:tcBorders>
                  <w:noWrap/>
                  <w:vAlign w:val="bottom"/>
                  <w:hideMark/>
                </w:tcPr>
                <w:p w14:paraId="0B4589F4"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1.19%</w:t>
                  </w:r>
                </w:p>
              </w:tc>
            </w:tr>
            <w:tr w:rsidR="00CF6040" w:rsidRPr="0009691C" w14:paraId="21462DCC"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330BD2BA"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Prefer not to Say</w:t>
                  </w:r>
                </w:p>
              </w:tc>
              <w:tc>
                <w:tcPr>
                  <w:tcW w:w="1681" w:type="dxa"/>
                  <w:tcBorders>
                    <w:top w:val="nil"/>
                    <w:left w:val="nil"/>
                    <w:bottom w:val="single" w:sz="4" w:space="0" w:color="auto"/>
                    <w:right w:val="single" w:sz="4" w:space="0" w:color="auto"/>
                  </w:tcBorders>
                  <w:noWrap/>
                  <w:vAlign w:val="bottom"/>
                  <w:hideMark/>
                </w:tcPr>
                <w:p w14:paraId="679FF505"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11</w:t>
                  </w:r>
                </w:p>
              </w:tc>
              <w:tc>
                <w:tcPr>
                  <w:tcW w:w="2046" w:type="dxa"/>
                  <w:tcBorders>
                    <w:top w:val="nil"/>
                    <w:left w:val="nil"/>
                    <w:bottom w:val="single" w:sz="4" w:space="0" w:color="auto"/>
                    <w:right w:val="single" w:sz="4" w:space="0" w:color="auto"/>
                  </w:tcBorders>
                  <w:noWrap/>
                  <w:vAlign w:val="bottom"/>
                  <w:hideMark/>
                </w:tcPr>
                <w:p w14:paraId="7E87BDA5"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3.43%</w:t>
                  </w:r>
                </w:p>
              </w:tc>
              <w:tc>
                <w:tcPr>
                  <w:tcW w:w="2379" w:type="dxa"/>
                  <w:tcBorders>
                    <w:top w:val="nil"/>
                    <w:left w:val="nil"/>
                    <w:bottom w:val="single" w:sz="4" w:space="0" w:color="auto"/>
                    <w:right w:val="single" w:sz="4" w:space="0" w:color="auto"/>
                  </w:tcBorders>
                  <w:noWrap/>
                  <w:vAlign w:val="bottom"/>
                  <w:hideMark/>
                </w:tcPr>
                <w:p w14:paraId="3883544F"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4.38%</w:t>
                  </w:r>
                </w:p>
              </w:tc>
            </w:tr>
            <w:tr w:rsidR="00CF6040" w:rsidRPr="0009691C" w14:paraId="05CE2B01"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1C57AF72"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Rastafarianism</w:t>
                  </w:r>
                </w:p>
              </w:tc>
              <w:tc>
                <w:tcPr>
                  <w:tcW w:w="1681" w:type="dxa"/>
                  <w:tcBorders>
                    <w:top w:val="nil"/>
                    <w:left w:val="nil"/>
                    <w:bottom w:val="single" w:sz="4" w:space="0" w:color="auto"/>
                    <w:right w:val="single" w:sz="4" w:space="0" w:color="auto"/>
                  </w:tcBorders>
                  <w:noWrap/>
                  <w:vAlign w:val="bottom"/>
                  <w:hideMark/>
                </w:tcPr>
                <w:p w14:paraId="6AF27510"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046" w:type="dxa"/>
                  <w:tcBorders>
                    <w:top w:val="nil"/>
                    <w:left w:val="nil"/>
                    <w:bottom w:val="single" w:sz="4" w:space="0" w:color="auto"/>
                    <w:right w:val="single" w:sz="4" w:space="0" w:color="auto"/>
                  </w:tcBorders>
                  <w:noWrap/>
                  <w:vAlign w:val="bottom"/>
                  <w:hideMark/>
                </w:tcPr>
                <w:p w14:paraId="7281E00B"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379" w:type="dxa"/>
                  <w:tcBorders>
                    <w:top w:val="nil"/>
                    <w:left w:val="nil"/>
                    <w:bottom w:val="single" w:sz="4" w:space="0" w:color="auto"/>
                    <w:right w:val="single" w:sz="4" w:space="0" w:color="auto"/>
                  </w:tcBorders>
                  <w:noWrap/>
                  <w:vAlign w:val="bottom"/>
                  <w:hideMark/>
                </w:tcPr>
                <w:p w14:paraId="7B7D024D"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0.02%</w:t>
                  </w:r>
                </w:p>
              </w:tc>
            </w:tr>
            <w:tr w:rsidR="00CF6040" w:rsidRPr="0009691C" w14:paraId="7B612577"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51546F8C"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Sikhism</w:t>
                  </w:r>
                </w:p>
              </w:tc>
              <w:tc>
                <w:tcPr>
                  <w:tcW w:w="1681" w:type="dxa"/>
                  <w:tcBorders>
                    <w:top w:val="nil"/>
                    <w:left w:val="nil"/>
                    <w:bottom w:val="single" w:sz="4" w:space="0" w:color="auto"/>
                    <w:right w:val="single" w:sz="4" w:space="0" w:color="auto"/>
                  </w:tcBorders>
                  <w:noWrap/>
                  <w:vAlign w:val="bottom"/>
                  <w:hideMark/>
                </w:tcPr>
                <w:p w14:paraId="2F4831D1"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046" w:type="dxa"/>
                  <w:tcBorders>
                    <w:top w:val="nil"/>
                    <w:left w:val="nil"/>
                    <w:bottom w:val="single" w:sz="4" w:space="0" w:color="auto"/>
                    <w:right w:val="single" w:sz="4" w:space="0" w:color="auto"/>
                  </w:tcBorders>
                  <w:noWrap/>
                  <w:vAlign w:val="bottom"/>
                  <w:hideMark/>
                </w:tcPr>
                <w:p w14:paraId="7FABDE3D"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 </w:t>
                  </w:r>
                </w:p>
              </w:tc>
              <w:tc>
                <w:tcPr>
                  <w:tcW w:w="2379" w:type="dxa"/>
                  <w:tcBorders>
                    <w:top w:val="nil"/>
                    <w:left w:val="nil"/>
                    <w:bottom w:val="single" w:sz="4" w:space="0" w:color="auto"/>
                    <w:right w:val="single" w:sz="4" w:space="0" w:color="auto"/>
                  </w:tcBorders>
                  <w:noWrap/>
                  <w:vAlign w:val="bottom"/>
                  <w:hideMark/>
                </w:tcPr>
                <w:p w14:paraId="7F79B6A7"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0.02%</w:t>
                  </w:r>
                </w:p>
              </w:tc>
            </w:tr>
            <w:tr w:rsidR="00CF6040" w:rsidRPr="0009691C" w14:paraId="69101A46" w14:textId="77777777" w:rsidTr="00CF6040">
              <w:trPr>
                <w:trHeight w:val="326"/>
              </w:trPr>
              <w:tc>
                <w:tcPr>
                  <w:tcW w:w="3711" w:type="dxa"/>
                  <w:tcBorders>
                    <w:top w:val="nil"/>
                    <w:left w:val="single" w:sz="4" w:space="0" w:color="auto"/>
                    <w:bottom w:val="single" w:sz="4" w:space="0" w:color="auto"/>
                    <w:right w:val="single" w:sz="4" w:space="0" w:color="auto"/>
                  </w:tcBorders>
                  <w:noWrap/>
                  <w:vAlign w:val="bottom"/>
                  <w:hideMark/>
                </w:tcPr>
                <w:p w14:paraId="58E74FB9" w14:textId="77777777" w:rsidR="00CF6040" w:rsidRPr="0009691C" w:rsidRDefault="00CF6040" w:rsidP="00CF6040">
                  <w:pPr>
                    <w:rPr>
                      <w:rFonts w:ascii="Work Sans" w:hAnsi="Work Sans" w:cs="Arial"/>
                      <w:sz w:val="22"/>
                      <w:szCs w:val="22"/>
                    </w:rPr>
                  </w:pPr>
                  <w:r w:rsidRPr="0009691C">
                    <w:rPr>
                      <w:rFonts w:ascii="Work Sans" w:hAnsi="Work Sans" w:cs="Arial"/>
                      <w:sz w:val="22"/>
                      <w:szCs w:val="22"/>
                    </w:rPr>
                    <w:t>Unknown</w:t>
                  </w:r>
                </w:p>
              </w:tc>
              <w:tc>
                <w:tcPr>
                  <w:tcW w:w="1681" w:type="dxa"/>
                  <w:tcBorders>
                    <w:top w:val="nil"/>
                    <w:left w:val="nil"/>
                    <w:bottom w:val="single" w:sz="4" w:space="0" w:color="auto"/>
                    <w:right w:val="single" w:sz="4" w:space="0" w:color="auto"/>
                  </w:tcBorders>
                  <w:noWrap/>
                  <w:vAlign w:val="bottom"/>
                  <w:hideMark/>
                </w:tcPr>
                <w:p w14:paraId="3CEA5209"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77</w:t>
                  </w:r>
                </w:p>
              </w:tc>
              <w:tc>
                <w:tcPr>
                  <w:tcW w:w="2046" w:type="dxa"/>
                  <w:tcBorders>
                    <w:top w:val="nil"/>
                    <w:left w:val="nil"/>
                    <w:bottom w:val="single" w:sz="4" w:space="0" w:color="auto"/>
                    <w:right w:val="single" w:sz="4" w:space="0" w:color="auto"/>
                  </w:tcBorders>
                  <w:noWrap/>
                  <w:vAlign w:val="bottom"/>
                  <w:hideMark/>
                </w:tcPr>
                <w:p w14:paraId="0459F758"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23.99%</w:t>
                  </w:r>
                </w:p>
              </w:tc>
              <w:tc>
                <w:tcPr>
                  <w:tcW w:w="2379" w:type="dxa"/>
                  <w:tcBorders>
                    <w:top w:val="nil"/>
                    <w:left w:val="nil"/>
                    <w:bottom w:val="single" w:sz="4" w:space="0" w:color="auto"/>
                    <w:right w:val="single" w:sz="4" w:space="0" w:color="auto"/>
                  </w:tcBorders>
                  <w:noWrap/>
                  <w:vAlign w:val="bottom"/>
                  <w:hideMark/>
                </w:tcPr>
                <w:p w14:paraId="0A7296CE" w14:textId="77777777" w:rsidR="00CF6040" w:rsidRPr="0009691C" w:rsidRDefault="00CF6040" w:rsidP="00CF6040">
                  <w:pPr>
                    <w:jc w:val="right"/>
                    <w:rPr>
                      <w:rFonts w:ascii="Work Sans" w:hAnsi="Work Sans" w:cs="Arial"/>
                      <w:sz w:val="22"/>
                      <w:szCs w:val="22"/>
                    </w:rPr>
                  </w:pPr>
                  <w:r w:rsidRPr="0009691C">
                    <w:rPr>
                      <w:rFonts w:ascii="Work Sans" w:hAnsi="Work Sans" w:cs="Arial"/>
                      <w:sz w:val="22"/>
                      <w:szCs w:val="22"/>
                    </w:rPr>
                    <w:t>32.04%</w:t>
                  </w:r>
                </w:p>
              </w:tc>
            </w:tr>
          </w:tbl>
          <w:p w14:paraId="70CD1995" w14:textId="395FB8E4" w:rsidR="0047188A" w:rsidRPr="0009691C" w:rsidRDefault="0047188A" w:rsidP="0047188A">
            <w:pPr>
              <w:spacing w:before="60" w:after="120"/>
              <w:ind w:left="720"/>
            </w:pPr>
          </w:p>
          <w:p w14:paraId="2ADC851D" w14:textId="77777777" w:rsidR="0047188A" w:rsidRPr="0009691C" w:rsidRDefault="0047188A" w:rsidP="0047188A">
            <w:pPr>
              <w:pStyle w:val="ListParagraph"/>
              <w:spacing w:before="60" w:after="120"/>
              <w:ind w:left="780"/>
            </w:pPr>
            <w:r w:rsidRPr="0009691C">
              <w:rPr>
                <w:rFonts w:ascii="Work Sans" w:hAnsi="Work Sans"/>
                <w:b/>
                <w:bCs/>
              </w:rPr>
              <w:t>Housing Ombudsman and SYHA</w:t>
            </w:r>
          </w:p>
          <w:p w14:paraId="68EB749C" w14:textId="77777777" w:rsidR="0047188A" w:rsidRPr="0009691C" w:rsidRDefault="0047188A" w:rsidP="0047188A">
            <w:pPr>
              <w:pStyle w:val="ListParagraph"/>
              <w:spacing w:before="60" w:after="120"/>
              <w:ind w:left="794"/>
              <w:contextualSpacing w:val="0"/>
              <w:jc w:val="both"/>
              <w:rPr>
                <w:rFonts w:ascii="Work Sans" w:hAnsi="Work Sans"/>
                <w:b/>
                <w:bCs/>
              </w:rPr>
            </w:pPr>
            <w:r w:rsidRPr="0009691C">
              <w:rPr>
                <w:rFonts w:ascii="Work Sans" w:hAnsi="Work Sans"/>
                <w:b/>
                <w:bCs/>
              </w:rPr>
              <w:t>Compliance with the Housing Ombudsman Complaint Handling Code</w:t>
            </w:r>
          </w:p>
          <w:p w14:paraId="1F2D16CA" w14:textId="7812D472" w:rsidR="0047188A" w:rsidRDefault="00FE0605" w:rsidP="0019179A">
            <w:pPr>
              <w:pStyle w:val="ListParagraph"/>
              <w:numPr>
                <w:ilvl w:val="1"/>
                <w:numId w:val="1"/>
              </w:numPr>
              <w:spacing w:before="60" w:after="120"/>
              <w:ind w:left="794" w:hanging="794"/>
              <w:jc w:val="both"/>
              <w:rPr>
                <w:rFonts w:ascii="Work Sans" w:hAnsi="Work Sans"/>
              </w:rPr>
            </w:pPr>
            <w:r w:rsidRPr="00FE0605">
              <w:rPr>
                <w:rFonts w:ascii="Work Sans" w:hAnsi="Work Sans"/>
              </w:rPr>
              <w:t>The Housing Ombudsman Complaint Handling Code has been statutory since 1 April 2024, requiring all social landlords to comply with its provisions and apply best‑practice standards in complaint handling.</w:t>
            </w:r>
          </w:p>
          <w:p w14:paraId="435A6CB8" w14:textId="77777777" w:rsidR="00FE0605" w:rsidRPr="0009691C" w:rsidRDefault="00FE0605" w:rsidP="00FE0605">
            <w:pPr>
              <w:pStyle w:val="ListParagraph"/>
              <w:spacing w:before="60" w:after="120"/>
              <w:ind w:left="794"/>
              <w:jc w:val="both"/>
              <w:rPr>
                <w:rFonts w:ascii="Work Sans" w:hAnsi="Work Sans"/>
              </w:rPr>
            </w:pPr>
          </w:p>
          <w:p w14:paraId="281EEED5" w14:textId="36A42D53" w:rsidR="006B3CE8" w:rsidRDefault="006B3CE8" w:rsidP="0019179A">
            <w:pPr>
              <w:pStyle w:val="ListParagraph"/>
              <w:numPr>
                <w:ilvl w:val="1"/>
                <w:numId w:val="1"/>
              </w:numPr>
              <w:spacing w:before="60" w:after="120"/>
              <w:ind w:left="794" w:hanging="794"/>
              <w:jc w:val="both"/>
              <w:rPr>
                <w:rFonts w:ascii="Work Sans" w:hAnsi="Work Sans"/>
              </w:rPr>
            </w:pPr>
            <w:r w:rsidRPr="006B3CE8">
              <w:rPr>
                <w:rFonts w:ascii="Work Sans" w:hAnsi="Work Sans"/>
              </w:rPr>
              <w:t xml:space="preserve">As set out earlier </w:t>
            </w:r>
            <w:r w:rsidRPr="001D31C8">
              <w:rPr>
                <w:rFonts w:ascii="Work Sans" w:hAnsi="Work Sans"/>
              </w:rPr>
              <w:t>in this report, SYHA has confirmed compliance with the Code through</w:t>
            </w:r>
            <w:r w:rsidR="00F742C8" w:rsidRPr="001D31C8">
              <w:rPr>
                <w:rFonts w:ascii="Work Sans" w:hAnsi="Work Sans"/>
              </w:rPr>
              <w:t xml:space="preserve"> this main report, the customer friendly report, and the </w:t>
            </w:r>
            <w:r w:rsidRPr="001D31C8">
              <w:rPr>
                <w:rFonts w:ascii="Work Sans" w:hAnsi="Work Sans"/>
              </w:rPr>
              <w:t>annual self‑assessment</w:t>
            </w:r>
            <w:r w:rsidR="00C572C6" w:rsidRPr="001D31C8">
              <w:rPr>
                <w:rFonts w:ascii="Work Sans" w:hAnsi="Work Sans"/>
              </w:rPr>
              <w:t xml:space="preserve">, </w:t>
            </w:r>
            <w:r w:rsidRPr="001D31C8">
              <w:rPr>
                <w:rFonts w:ascii="Work Sans" w:hAnsi="Work Sans"/>
              </w:rPr>
              <w:t>while</w:t>
            </w:r>
            <w:r w:rsidR="00C572C6" w:rsidRPr="001D31C8">
              <w:rPr>
                <w:rFonts w:ascii="Work Sans" w:hAnsi="Work Sans"/>
              </w:rPr>
              <w:t xml:space="preserve"> also</w:t>
            </w:r>
            <w:r w:rsidRPr="001D31C8">
              <w:rPr>
                <w:rFonts w:ascii="Work Sans" w:hAnsi="Work Sans"/>
              </w:rPr>
              <w:t xml:space="preserve"> identifying</w:t>
            </w:r>
            <w:r w:rsidRPr="006B3CE8">
              <w:rPr>
                <w:rFonts w:ascii="Work Sans" w:hAnsi="Work Sans"/>
              </w:rPr>
              <w:t xml:space="preserve"> areas for </w:t>
            </w:r>
            <w:r w:rsidR="0023700E">
              <w:rPr>
                <w:rFonts w:ascii="Work Sans" w:hAnsi="Work Sans"/>
              </w:rPr>
              <w:t>contin</w:t>
            </w:r>
            <w:r w:rsidR="001D31C8">
              <w:rPr>
                <w:rFonts w:ascii="Work Sans" w:hAnsi="Work Sans"/>
              </w:rPr>
              <w:t xml:space="preserve">uous improvement and </w:t>
            </w:r>
            <w:r w:rsidRPr="006B3CE8">
              <w:rPr>
                <w:rFonts w:ascii="Work Sans" w:hAnsi="Work Sans"/>
              </w:rPr>
              <w:t>further strengthening. The following section outlines our interaction with the Housing Ombudsman and complaint‑related activity during the year.</w:t>
            </w:r>
          </w:p>
          <w:p w14:paraId="45BD2CC2" w14:textId="77777777" w:rsidR="006B3CE8" w:rsidRPr="006B3CE8" w:rsidRDefault="006B3CE8" w:rsidP="006B3CE8">
            <w:pPr>
              <w:pStyle w:val="ListParagraph"/>
              <w:rPr>
                <w:rFonts w:ascii="Work Sans" w:hAnsi="Work Sans"/>
              </w:rPr>
            </w:pPr>
          </w:p>
          <w:p w14:paraId="686D984F" w14:textId="77777777" w:rsidR="0047188A" w:rsidRDefault="0047188A" w:rsidP="00786582">
            <w:pPr>
              <w:pStyle w:val="ListParagraph"/>
              <w:spacing w:before="60" w:after="120"/>
              <w:ind w:left="794"/>
              <w:jc w:val="both"/>
              <w:rPr>
                <w:rFonts w:ascii="Work Sans" w:hAnsi="Work Sans"/>
                <w:b/>
                <w:bCs/>
              </w:rPr>
            </w:pPr>
            <w:r w:rsidRPr="0009691C">
              <w:rPr>
                <w:rFonts w:ascii="Work Sans" w:hAnsi="Work Sans"/>
                <w:b/>
                <w:bCs/>
              </w:rPr>
              <w:t xml:space="preserve">Housing Ombudsman investigations </w:t>
            </w:r>
          </w:p>
          <w:p w14:paraId="000681E5" w14:textId="77777777" w:rsidR="001D31C8" w:rsidRPr="0009691C" w:rsidRDefault="001D31C8" w:rsidP="00786582">
            <w:pPr>
              <w:pStyle w:val="ListParagraph"/>
              <w:spacing w:before="60" w:after="120"/>
              <w:ind w:left="794"/>
              <w:jc w:val="both"/>
              <w:rPr>
                <w:rFonts w:ascii="Work Sans" w:hAnsi="Work Sans"/>
                <w:b/>
                <w:bCs/>
              </w:rPr>
            </w:pPr>
          </w:p>
          <w:p w14:paraId="58AC00F9" w14:textId="77777777" w:rsidR="00631D84" w:rsidRPr="0009691C" w:rsidRDefault="006E3F91"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During 202</w:t>
            </w:r>
            <w:r w:rsidR="00696AF3" w:rsidRPr="0009691C">
              <w:rPr>
                <w:rFonts w:ascii="Work Sans" w:hAnsi="Work Sans"/>
              </w:rPr>
              <w:t>5</w:t>
            </w:r>
            <w:r w:rsidRPr="0009691C">
              <w:rPr>
                <w:rFonts w:ascii="Work Sans" w:hAnsi="Work Sans"/>
              </w:rPr>
              <w:t>/2</w:t>
            </w:r>
            <w:r w:rsidR="00C22248" w:rsidRPr="0009691C">
              <w:rPr>
                <w:rFonts w:ascii="Work Sans" w:hAnsi="Work Sans"/>
              </w:rPr>
              <w:t>6</w:t>
            </w:r>
            <w:r w:rsidRPr="0009691C">
              <w:rPr>
                <w:rFonts w:ascii="Work Sans" w:hAnsi="Work Sans"/>
              </w:rPr>
              <w:t xml:space="preserve">, </w:t>
            </w:r>
            <w:r w:rsidR="00C22248" w:rsidRPr="0009691C">
              <w:rPr>
                <w:rFonts w:ascii="Work Sans" w:hAnsi="Work Sans"/>
              </w:rPr>
              <w:t>one</w:t>
            </w:r>
            <w:r w:rsidRPr="0009691C">
              <w:rPr>
                <w:rFonts w:ascii="Work Sans" w:hAnsi="Work Sans"/>
              </w:rPr>
              <w:t xml:space="preserve"> investigation w</w:t>
            </w:r>
            <w:r w:rsidR="00C22248" w:rsidRPr="0009691C">
              <w:rPr>
                <w:rFonts w:ascii="Work Sans" w:hAnsi="Work Sans"/>
              </w:rPr>
              <w:t>as</w:t>
            </w:r>
            <w:r w:rsidRPr="0009691C">
              <w:rPr>
                <w:rFonts w:ascii="Work Sans" w:hAnsi="Work Sans"/>
              </w:rPr>
              <w:t xml:space="preserve"> started by the Housing Ombudsman and </w:t>
            </w:r>
            <w:r w:rsidR="007479EF" w:rsidRPr="0009691C">
              <w:rPr>
                <w:rFonts w:ascii="Work Sans" w:hAnsi="Work Sans"/>
              </w:rPr>
              <w:t>zero</w:t>
            </w:r>
            <w:r w:rsidRPr="0009691C">
              <w:rPr>
                <w:rFonts w:ascii="Work Sans" w:hAnsi="Work Sans"/>
              </w:rPr>
              <w:t xml:space="preserve"> decisions were received. </w:t>
            </w:r>
          </w:p>
          <w:p w14:paraId="3DDC75EC" w14:textId="6B1600EB" w:rsidR="006E3F91" w:rsidRPr="0009691C" w:rsidRDefault="00631D84"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We are waiting</w:t>
            </w:r>
            <w:r w:rsidR="00084D53" w:rsidRPr="0009691C">
              <w:rPr>
                <w:rFonts w:ascii="Work Sans" w:hAnsi="Work Sans"/>
              </w:rPr>
              <w:t xml:space="preserve"> for </w:t>
            </w:r>
            <w:r w:rsidR="00414145" w:rsidRPr="0009691C">
              <w:rPr>
                <w:rFonts w:ascii="Work Sans" w:hAnsi="Work Sans"/>
              </w:rPr>
              <w:t>decisions</w:t>
            </w:r>
            <w:r w:rsidR="007A6E11" w:rsidRPr="0009691C">
              <w:rPr>
                <w:rFonts w:ascii="Work Sans" w:hAnsi="Work Sans"/>
              </w:rPr>
              <w:t xml:space="preserve"> o</w:t>
            </w:r>
            <w:r w:rsidR="00414145" w:rsidRPr="0009691C">
              <w:rPr>
                <w:rFonts w:ascii="Work Sans" w:hAnsi="Work Sans"/>
              </w:rPr>
              <w:t>n</w:t>
            </w:r>
            <w:r w:rsidR="007A6E11" w:rsidRPr="0009691C">
              <w:rPr>
                <w:rFonts w:ascii="Work Sans" w:hAnsi="Work Sans"/>
              </w:rPr>
              <w:t xml:space="preserve"> 4 cases, with evidence submitted to the Housing Ombudsman over </w:t>
            </w:r>
            <w:r w:rsidR="002B4FBE" w:rsidRPr="0009691C">
              <w:rPr>
                <w:rFonts w:ascii="Work Sans" w:hAnsi="Work Sans"/>
              </w:rPr>
              <w:t xml:space="preserve">the 2024/25 </w:t>
            </w:r>
            <w:r w:rsidR="00181D09" w:rsidRPr="0009691C">
              <w:rPr>
                <w:rFonts w:ascii="Work Sans" w:hAnsi="Work Sans"/>
              </w:rPr>
              <w:t>and 2025/26</w:t>
            </w:r>
            <w:r w:rsidR="00BA6E93" w:rsidRPr="0009691C">
              <w:rPr>
                <w:rFonts w:ascii="Work Sans" w:hAnsi="Work Sans"/>
              </w:rPr>
              <w:t xml:space="preserve"> period</w:t>
            </w:r>
            <w:r w:rsidR="00CF0FE3" w:rsidRPr="0009691C">
              <w:rPr>
                <w:rFonts w:ascii="Work Sans" w:hAnsi="Work Sans"/>
              </w:rPr>
              <w:t>.</w:t>
            </w:r>
            <w:r w:rsidR="005D6D8D">
              <w:rPr>
                <w:rFonts w:ascii="Work Sans" w:hAnsi="Work Sans"/>
              </w:rPr>
              <w:t xml:space="preserve"> </w:t>
            </w:r>
            <w:r w:rsidR="009D2628">
              <w:rPr>
                <w:rFonts w:ascii="Work Sans" w:hAnsi="Work Sans"/>
              </w:rPr>
              <w:t xml:space="preserve"> The Housing Ombudsman has published their Business Plan for 2026-27 which</w:t>
            </w:r>
            <w:r w:rsidR="00E43380">
              <w:rPr>
                <w:rFonts w:ascii="Work Sans" w:hAnsi="Work Sans"/>
              </w:rPr>
              <w:t xml:space="preserve"> has introduced new case targets, </w:t>
            </w:r>
            <w:r w:rsidR="00E43380" w:rsidRPr="0005739E">
              <w:rPr>
                <w:rFonts w:ascii="Work Sans" w:hAnsi="Work Sans"/>
                <w:i/>
                <w:iCs/>
              </w:rPr>
              <w:t>80% of cases will be resolved within 12 months and no case will exceed 18 months</w:t>
            </w:r>
            <w:r w:rsidR="00E43380">
              <w:rPr>
                <w:rFonts w:ascii="Work Sans" w:hAnsi="Work Sans"/>
              </w:rPr>
              <w:t xml:space="preserve">. </w:t>
            </w:r>
            <w:r w:rsidR="007714E7">
              <w:rPr>
                <w:rFonts w:ascii="Work Sans" w:hAnsi="Work Sans"/>
              </w:rPr>
              <w:t>W</w:t>
            </w:r>
            <w:r w:rsidR="00E43380">
              <w:rPr>
                <w:rFonts w:ascii="Work Sans" w:hAnsi="Work Sans"/>
              </w:rPr>
              <w:t>e expect to</w:t>
            </w:r>
            <w:r w:rsidR="0005739E">
              <w:rPr>
                <w:rFonts w:ascii="Work Sans" w:hAnsi="Work Sans"/>
              </w:rPr>
              <w:t xml:space="preserve"> </w:t>
            </w:r>
            <w:r w:rsidR="007714E7">
              <w:rPr>
                <w:rFonts w:ascii="Work Sans" w:hAnsi="Work Sans"/>
              </w:rPr>
              <w:t xml:space="preserve">receive decisions on these cases </w:t>
            </w:r>
            <w:r w:rsidR="0005739E">
              <w:rPr>
                <w:rFonts w:ascii="Work Sans" w:hAnsi="Work Sans"/>
              </w:rPr>
              <w:t>over the coming month</w:t>
            </w:r>
            <w:r w:rsidR="00DA059E">
              <w:rPr>
                <w:rFonts w:ascii="Work Sans" w:hAnsi="Work Sans"/>
              </w:rPr>
              <w:t>s.</w:t>
            </w:r>
          </w:p>
          <w:p w14:paraId="4DA4AFCE" w14:textId="523FB317" w:rsidR="006E3F91" w:rsidRPr="0009691C" w:rsidRDefault="006E3F91"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Findings from the Housing Ombudsman are shared with the</w:t>
            </w:r>
            <w:r w:rsidR="00DA059E">
              <w:rPr>
                <w:rFonts w:ascii="Work Sans" w:hAnsi="Work Sans"/>
              </w:rPr>
              <w:t xml:space="preserve"> relevant Director and Head of Service, and our</w:t>
            </w:r>
            <w:r w:rsidRPr="0009691C">
              <w:rPr>
                <w:rFonts w:ascii="Work Sans" w:hAnsi="Work Sans"/>
              </w:rPr>
              <w:t xml:space="preserve"> Complaints Working Group so any</w:t>
            </w:r>
            <w:r w:rsidR="00DD1AD1">
              <w:rPr>
                <w:rFonts w:ascii="Work Sans" w:hAnsi="Work Sans"/>
              </w:rPr>
              <w:t xml:space="preserve"> learning and</w:t>
            </w:r>
            <w:r w:rsidRPr="0009691C">
              <w:rPr>
                <w:rFonts w:ascii="Work Sans" w:hAnsi="Work Sans"/>
              </w:rPr>
              <w:t xml:space="preserve"> actions can be agreed and tracked.</w:t>
            </w:r>
          </w:p>
          <w:p w14:paraId="1F24BBBF" w14:textId="41C9B86B" w:rsidR="00883EFE" w:rsidRPr="00883EFE" w:rsidRDefault="00883EFE" w:rsidP="00FA60F1">
            <w:pPr>
              <w:pStyle w:val="ListParagraph"/>
              <w:numPr>
                <w:ilvl w:val="1"/>
                <w:numId w:val="1"/>
              </w:numPr>
              <w:spacing w:before="60" w:after="120"/>
              <w:ind w:left="794" w:hanging="794"/>
              <w:contextualSpacing w:val="0"/>
              <w:jc w:val="both"/>
              <w:rPr>
                <w:rFonts w:ascii="Work Sans" w:hAnsi="Work Sans"/>
                <w:b/>
                <w:bCs/>
              </w:rPr>
            </w:pPr>
            <w:r w:rsidRPr="00883EFE">
              <w:rPr>
                <w:rFonts w:ascii="Work Sans" w:hAnsi="Work Sans"/>
              </w:rPr>
              <w:t>The Housing Ombudsman published a Performance Report for</w:t>
            </w:r>
            <w:r w:rsidR="00DD1AD1">
              <w:rPr>
                <w:rFonts w:ascii="Work Sans" w:hAnsi="Work Sans"/>
              </w:rPr>
              <w:t xml:space="preserve"> SYHA during</w:t>
            </w:r>
            <w:r w:rsidRPr="00883EFE">
              <w:rPr>
                <w:rFonts w:ascii="Work Sans" w:hAnsi="Work Sans"/>
              </w:rPr>
              <w:t xml:space="preserve"> 2024/25. This report related to three cases that the Ombudsman completed during that period. In all three cases, the Ombudsman found maladministration. </w:t>
            </w:r>
            <w:r w:rsidR="005D6D8D">
              <w:rPr>
                <w:rFonts w:ascii="Work Sans" w:hAnsi="Work Sans"/>
              </w:rPr>
              <w:t xml:space="preserve">We reported on these cases in last </w:t>
            </w:r>
            <w:proofErr w:type="spellStart"/>
            <w:r w:rsidR="005D6D8D">
              <w:rPr>
                <w:rFonts w:ascii="Work Sans" w:hAnsi="Work Sans"/>
              </w:rPr>
              <w:t>years</w:t>
            </w:r>
            <w:proofErr w:type="spellEnd"/>
            <w:r w:rsidR="005D6D8D">
              <w:rPr>
                <w:rFonts w:ascii="Work Sans" w:hAnsi="Work Sans"/>
              </w:rPr>
              <w:t xml:space="preserve"> annual report and continue to focus on learning from them.</w:t>
            </w:r>
          </w:p>
          <w:p w14:paraId="1E6D774B" w14:textId="1D211859" w:rsidR="006C4766" w:rsidRPr="0009691C" w:rsidRDefault="00274DA8"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rPr>
              <w:t>Our Customer Committee receive regular u</w:t>
            </w:r>
            <w:r w:rsidR="00F144EF" w:rsidRPr="0009691C">
              <w:rPr>
                <w:rFonts w:ascii="Work Sans" w:hAnsi="Work Sans"/>
              </w:rPr>
              <w:t>pdates about our contact with the Housing Ombudsman. We</w:t>
            </w:r>
            <w:r w:rsidR="00DD1AD1">
              <w:rPr>
                <w:rFonts w:ascii="Work Sans" w:hAnsi="Work Sans"/>
              </w:rPr>
              <w:t xml:space="preserve"> discuss</w:t>
            </w:r>
            <w:r w:rsidR="00F144EF" w:rsidRPr="0009691C">
              <w:rPr>
                <w:rFonts w:ascii="Work Sans" w:hAnsi="Work Sans"/>
              </w:rPr>
              <w:t xml:space="preserve"> </w:t>
            </w:r>
            <w:r w:rsidR="0065250F">
              <w:rPr>
                <w:rFonts w:ascii="Work Sans" w:hAnsi="Work Sans"/>
              </w:rPr>
              <w:t xml:space="preserve">complaint information </w:t>
            </w:r>
            <w:r w:rsidR="00F144EF" w:rsidRPr="0009691C">
              <w:rPr>
                <w:rFonts w:ascii="Work Sans" w:hAnsi="Work Sans"/>
              </w:rPr>
              <w:t>with the committee to understand and agree what information they would find most helpful to receive</w:t>
            </w:r>
            <w:r w:rsidR="0065250F">
              <w:rPr>
                <w:rFonts w:ascii="Work Sans" w:hAnsi="Work Sans"/>
              </w:rPr>
              <w:t xml:space="preserve">, for example this year the committee has requested to hear directly from contractors. </w:t>
            </w:r>
          </w:p>
          <w:p w14:paraId="0DE006C0" w14:textId="6300D097" w:rsidR="006E3F91" w:rsidRPr="0009691C" w:rsidRDefault="006E3F91" w:rsidP="006E3F91">
            <w:pPr>
              <w:pStyle w:val="ListParagraph"/>
              <w:spacing w:before="60" w:after="120"/>
              <w:ind w:left="794"/>
              <w:contextualSpacing w:val="0"/>
              <w:jc w:val="both"/>
              <w:rPr>
                <w:rFonts w:ascii="Work Sans" w:hAnsi="Work Sans"/>
                <w:b/>
                <w:bCs/>
              </w:rPr>
            </w:pPr>
            <w:r w:rsidRPr="0009691C">
              <w:rPr>
                <w:rFonts w:ascii="Work Sans" w:hAnsi="Work Sans"/>
                <w:b/>
                <w:bCs/>
              </w:rPr>
              <w:t>Service Improvements</w:t>
            </w:r>
            <w:r w:rsidR="002500CE">
              <w:rPr>
                <w:rFonts w:ascii="Work Sans" w:hAnsi="Work Sans"/>
                <w:b/>
                <w:bCs/>
              </w:rPr>
              <w:t xml:space="preserve"> &amp; Learning from Complaints</w:t>
            </w:r>
          </w:p>
          <w:p w14:paraId="666FB589" w14:textId="37269AD9" w:rsidR="006E3F91" w:rsidRPr="0009691C" w:rsidRDefault="006E3F91" w:rsidP="0019179A">
            <w:pPr>
              <w:pStyle w:val="ListParagraph"/>
              <w:numPr>
                <w:ilvl w:val="1"/>
                <w:numId w:val="1"/>
              </w:numPr>
              <w:spacing w:before="60" w:after="120"/>
              <w:ind w:left="794" w:hanging="794"/>
              <w:contextualSpacing w:val="0"/>
              <w:jc w:val="both"/>
              <w:rPr>
                <w:rFonts w:ascii="Work Sans" w:hAnsi="Work Sans"/>
                <w:i/>
                <w:iCs/>
              </w:rPr>
            </w:pPr>
            <w:r w:rsidRPr="0009691C">
              <w:rPr>
                <w:rFonts w:ascii="Work Sans" w:hAnsi="Work Sans"/>
              </w:rPr>
              <w:t>Using learning from complaints is central to improve services for customers. Here are some examples of how learning has been used in 202</w:t>
            </w:r>
            <w:r w:rsidR="00CF5F80" w:rsidRPr="0009691C">
              <w:rPr>
                <w:rFonts w:ascii="Work Sans" w:hAnsi="Work Sans"/>
              </w:rPr>
              <w:t>5</w:t>
            </w:r>
            <w:r w:rsidRPr="0009691C">
              <w:rPr>
                <w:rFonts w:ascii="Work Sans" w:hAnsi="Work Sans"/>
              </w:rPr>
              <w:t>/2</w:t>
            </w:r>
            <w:r w:rsidR="00CF5F80" w:rsidRPr="0009691C">
              <w:rPr>
                <w:rFonts w:ascii="Work Sans" w:hAnsi="Work Sans"/>
              </w:rPr>
              <w:t>6</w:t>
            </w:r>
            <w:r w:rsidR="003A45D6" w:rsidRPr="0009691C">
              <w:rPr>
                <w:rFonts w:ascii="Work Sans" w:hAnsi="Work Sans"/>
              </w:rPr>
              <w:t xml:space="preserve"> and some of our plans for 202</w:t>
            </w:r>
            <w:r w:rsidR="00CF5F80" w:rsidRPr="0009691C">
              <w:rPr>
                <w:rFonts w:ascii="Work Sans" w:hAnsi="Work Sans"/>
              </w:rPr>
              <w:t>6</w:t>
            </w:r>
            <w:r w:rsidR="003A45D6" w:rsidRPr="0009691C">
              <w:rPr>
                <w:rFonts w:ascii="Work Sans" w:hAnsi="Work Sans"/>
              </w:rPr>
              <w:t>/2</w:t>
            </w:r>
            <w:r w:rsidR="00CF5F80" w:rsidRPr="0009691C">
              <w:rPr>
                <w:rFonts w:ascii="Work Sans" w:hAnsi="Work Sans"/>
              </w:rPr>
              <w:t>7</w:t>
            </w:r>
            <w:r w:rsidRPr="0009691C">
              <w:rPr>
                <w:rFonts w:ascii="Work Sans" w:hAnsi="Work Sans"/>
              </w:rPr>
              <w:t xml:space="preserve">: </w:t>
            </w:r>
          </w:p>
          <w:p w14:paraId="26E1B63C" w14:textId="090E1C03" w:rsidR="00C546D9" w:rsidRDefault="00C546D9" w:rsidP="0019179A">
            <w:pPr>
              <w:pStyle w:val="ListParagraph"/>
              <w:numPr>
                <w:ilvl w:val="1"/>
                <w:numId w:val="1"/>
              </w:numPr>
              <w:spacing w:before="60" w:after="120"/>
              <w:ind w:left="794" w:hanging="794"/>
              <w:contextualSpacing w:val="0"/>
              <w:jc w:val="both"/>
              <w:rPr>
                <w:rFonts w:ascii="Work Sans" w:hAnsi="Work Sans"/>
                <w:b/>
                <w:bCs/>
              </w:rPr>
            </w:pPr>
            <w:r>
              <w:rPr>
                <w:rFonts w:ascii="Work Sans" w:hAnsi="Work Sans"/>
                <w:b/>
                <w:bCs/>
              </w:rPr>
              <w:t>Extra Care Scheme</w:t>
            </w:r>
            <w:r w:rsidR="004D7702">
              <w:rPr>
                <w:rFonts w:ascii="Work Sans" w:hAnsi="Work Sans"/>
                <w:b/>
                <w:bCs/>
              </w:rPr>
              <w:t xml:space="preserve"> Visits</w:t>
            </w:r>
          </w:p>
          <w:p w14:paraId="74181DD4" w14:textId="4871D239" w:rsidR="00C546D9" w:rsidRPr="00C546D9" w:rsidRDefault="0076500A" w:rsidP="004D7702">
            <w:pPr>
              <w:pStyle w:val="ListParagraph"/>
              <w:numPr>
                <w:ilvl w:val="0"/>
                <w:numId w:val="27"/>
              </w:numPr>
              <w:spacing w:before="60" w:after="120"/>
              <w:contextualSpacing w:val="0"/>
              <w:jc w:val="both"/>
              <w:rPr>
                <w:rFonts w:ascii="Work Sans" w:hAnsi="Work Sans"/>
              </w:rPr>
            </w:pPr>
            <w:r>
              <w:rPr>
                <w:rFonts w:ascii="Work Sans" w:hAnsi="Work Sans"/>
              </w:rPr>
              <w:t xml:space="preserve">Following complaints from Extra Care schemes about heating during the winter, we visited two schemes to </w:t>
            </w:r>
            <w:r w:rsidR="00EF1134">
              <w:rPr>
                <w:rFonts w:ascii="Work Sans" w:hAnsi="Work Sans"/>
              </w:rPr>
              <w:t>have</w:t>
            </w:r>
            <w:r w:rsidR="004D7702">
              <w:rPr>
                <w:rFonts w:ascii="Work Sans" w:hAnsi="Work Sans"/>
              </w:rPr>
              <w:t xml:space="preserve"> </w:t>
            </w:r>
            <w:r w:rsidR="00EF1134">
              <w:rPr>
                <w:rFonts w:ascii="Work Sans" w:hAnsi="Work Sans"/>
              </w:rPr>
              <w:t>more in</w:t>
            </w:r>
            <w:r w:rsidR="004D7702">
              <w:rPr>
                <w:rFonts w:ascii="Work Sans" w:hAnsi="Work Sans"/>
              </w:rPr>
              <w:t>-</w:t>
            </w:r>
            <w:r w:rsidR="00EF1134">
              <w:rPr>
                <w:rFonts w:ascii="Work Sans" w:hAnsi="Work Sans"/>
              </w:rPr>
              <w:t>depth conversation</w:t>
            </w:r>
            <w:r w:rsidR="004D7702">
              <w:rPr>
                <w:rFonts w:ascii="Work Sans" w:hAnsi="Work Sans"/>
              </w:rPr>
              <w:t>s</w:t>
            </w:r>
            <w:r w:rsidR="00EF1134">
              <w:rPr>
                <w:rFonts w:ascii="Work Sans" w:hAnsi="Work Sans"/>
              </w:rPr>
              <w:t>. These were led by our CEO Larry Gold</w:t>
            </w:r>
            <w:r w:rsidR="004D7702">
              <w:rPr>
                <w:rFonts w:ascii="Work Sans" w:hAnsi="Work Sans"/>
              </w:rPr>
              <w:t xml:space="preserve"> and were well attended. As well as working to resolving heating issues, the conversations allowed residents to raise other issues which have been proactively dealt with and helped reduce further complaints. </w:t>
            </w:r>
          </w:p>
          <w:p w14:paraId="23A7BAE8" w14:textId="3E5A3CF7" w:rsidR="001667FC" w:rsidRPr="0009691C" w:rsidRDefault="001667FC"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Damp Mould and Condensation</w:t>
            </w:r>
            <w:r w:rsidR="009E37AB">
              <w:rPr>
                <w:rFonts w:ascii="Work Sans" w:hAnsi="Work Sans"/>
                <w:b/>
                <w:bCs/>
              </w:rPr>
              <w:t xml:space="preserve"> (DMC)</w:t>
            </w:r>
          </w:p>
          <w:p w14:paraId="5EB42C86" w14:textId="0A0BB085" w:rsidR="00DC36CB" w:rsidRPr="004C0904" w:rsidRDefault="3B3BFA19" w:rsidP="004D4664">
            <w:pPr>
              <w:pStyle w:val="ListParagraph"/>
              <w:numPr>
                <w:ilvl w:val="0"/>
                <w:numId w:val="19"/>
              </w:numPr>
              <w:spacing w:before="60" w:after="120"/>
              <w:contextualSpacing w:val="0"/>
              <w:jc w:val="both"/>
              <w:rPr>
                <w:rFonts w:ascii="Work Sans" w:hAnsi="Work Sans"/>
              </w:rPr>
            </w:pPr>
            <w:r w:rsidRPr="004C0904">
              <w:rPr>
                <w:rFonts w:ascii="Work Sans" w:hAnsi="Work Sans"/>
              </w:rPr>
              <w:t xml:space="preserve">Following the introduction of Awaab’s Law we have changed how we manage </w:t>
            </w:r>
            <w:r w:rsidR="689D9A33" w:rsidRPr="004C0904">
              <w:rPr>
                <w:rFonts w:ascii="Work Sans" w:hAnsi="Work Sans"/>
              </w:rPr>
              <w:t>DMC</w:t>
            </w:r>
            <w:r w:rsidR="71E4C62F" w:rsidRPr="004C0904">
              <w:rPr>
                <w:rFonts w:ascii="Work Sans" w:hAnsi="Work Sans"/>
              </w:rPr>
              <w:t xml:space="preserve"> case</w:t>
            </w:r>
            <w:r w:rsidR="35A9C945" w:rsidRPr="004C0904">
              <w:rPr>
                <w:rFonts w:ascii="Work Sans" w:hAnsi="Work Sans"/>
              </w:rPr>
              <w:t>s</w:t>
            </w:r>
            <w:r w:rsidR="004C0904" w:rsidRPr="004C0904">
              <w:rPr>
                <w:rFonts w:ascii="Work Sans" w:hAnsi="Work Sans"/>
              </w:rPr>
              <w:t xml:space="preserve">, with new </w:t>
            </w:r>
            <w:r w:rsidR="004C0904">
              <w:rPr>
                <w:rFonts w:ascii="Work Sans" w:hAnsi="Work Sans"/>
              </w:rPr>
              <w:t>p</w:t>
            </w:r>
            <w:r w:rsidR="045D44E8" w:rsidRPr="004C0904">
              <w:rPr>
                <w:rFonts w:ascii="Work Sans" w:hAnsi="Work Sans"/>
              </w:rPr>
              <w:t xml:space="preserve">rocesses and IT changes </w:t>
            </w:r>
            <w:r w:rsidR="004C0904">
              <w:rPr>
                <w:rFonts w:ascii="Work Sans" w:hAnsi="Work Sans"/>
              </w:rPr>
              <w:t xml:space="preserve">implemented. </w:t>
            </w:r>
          </w:p>
          <w:p w14:paraId="575EA651" w14:textId="77777777" w:rsidR="00C974A6" w:rsidRDefault="00C974A6" w:rsidP="00564358">
            <w:pPr>
              <w:pStyle w:val="ListParagraph"/>
              <w:numPr>
                <w:ilvl w:val="0"/>
                <w:numId w:val="19"/>
              </w:numPr>
              <w:spacing w:before="60" w:after="120"/>
              <w:contextualSpacing w:val="0"/>
              <w:jc w:val="both"/>
              <w:rPr>
                <w:rFonts w:ascii="Work Sans" w:hAnsi="Work Sans"/>
              </w:rPr>
            </w:pPr>
            <w:r w:rsidRPr="00C974A6">
              <w:rPr>
                <w:rFonts w:ascii="Work Sans" w:hAnsi="Work Sans"/>
              </w:rPr>
              <w:t>Staff awareness has been strengthened to improve the identification and reporting of DMC cases.</w:t>
            </w:r>
          </w:p>
          <w:p w14:paraId="49E19E92" w14:textId="77777777" w:rsidR="00CD223D" w:rsidRDefault="00CD223D" w:rsidP="00564358">
            <w:pPr>
              <w:pStyle w:val="ListParagraph"/>
              <w:numPr>
                <w:ilvl w:val="0"/>
                <w:numId w:val="19"/>
              </w:numPr>
              <w:spacing w:before="60" w:after="120"/>
              <w:contextualSpacing w:val="0"/>
              <w:jc w:val="both"/>
              <w:rPr>
                <w:rFonts w:ascii="Work Sans" w:hAnsi="Work Sans"/>
              </w:rPr>
            </w:pPr>
            <w:r w:rsidRPr="00CD223D">
              <w:rPr>
                <w:rFonts w:ascii="Work Sans" w:hAnsi="Work Sans"/>
              </w:rPr>
              <w:t>Learning from complaints during the year has highlighted the importance of clearly communicating the DMC process to customers. While website information has been improved to explain the process, complaints have shown that we need to better communicate that investigations can involve a process of elimination and may take time.</w:t>
            </w:r>
          </w:p>
          <w:p w14:paraId="214F4391" w14:textId="08501986" w:rsidR="2A36A236" w:rsidRPr="0009691C" w:rsidRDefault="2A36A236"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Fencing</w:t>
            </w:r>
          </w:p>
          <w:p w14:paraId="5DEC0AAC" w14:textId="72F84A22" w:rsidR="00C3530F" w:rsidRDefault="00C3530F" w:rsidP="007A15DC">
            <w:pPr>
              <w:pStyle w:val="ListParagraph"/>
              <w:numPr>
                <w:ilvl w:val="0"/>
                <w:numId w:val="20"/>
              </w:numPr>
              <w:spacing w:before="60" w:after="120"/>
              <w:contextualSpacing w:val="0"/>
              <w:jc w:val="both"/>
              <w:rPr>
                <w:rFonts w:ascii="Work Sans" w:hAnsi="Work Sans"/>
              </w:rPr>
            </w:pPr>
            <w:r w:rsidRPr="00C3530F">
              <w:rPr>
                <w:rFonts w:ascii="Work Sans" w:hAnsi="Work Sans"/>
              </w:rPr>
              <w:t>Complaints received during the year have highlighted that customers want clearer and more consistent communication about responsibility for fencing repairs and expected timescales</w:t>
            </w:r>
            <w:r w:rsidR="00925D47">
              <w:rPr>
                <w:rFonts w:ascii="Work Sans" w:hAnsi="Work Sans"/>
              </w:rPr>
              <w:t xml:space="preserve">. </w:t>
            </w:r>
          </w:p>
          <w:p w14:paraId="6A9F4255" w14:textId="57C34EF4" w:rsidR="00925D47" w:rsidRDefault="00CA5C3D" w:rsidP="007A15DC">
            <w:pPr>
              <w:pStyle w:val="ListParagraph"/>
              <w:numPr>
                <w:ilvl w:val="0"/>
                <w:numId w:val="20"/>
              </w:numPr>
              <w:spacing w:before="60" w:after="120"/>
              <w:contextualSpacing w:val="0"/>
              <w:jc w:val="both"/>
              <w:rPr>
                <w:rFonts w:ascii="Work Sans" w:hAnsi="Work Sans"/>
              </w:rPr>
            </w:pPr>
            <w:r w:rsidRPr="00CA5C3D">
              <w:rPr>
                <w:rFonts w:ascii="Work Sans" w:hAnsi="Work Sans"/>
              </w:rPr>
              <w:t>In response to this learning, we are considering how best to improve communication with customers, including how we explain the fencing programme, prioritisation, and updates for those waiting for works.</w:t>
            </w:r>
          </w:p>
          <w:p w14:paraId="16F8AAAC" w14:textId="77777777" w:rsidR="7CDFDBDF" w:rsidRPr="0009691C" w:rsidRDefault="7CDFDBDF"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Pest Control</w:t>
            </w:r>
          </w:p>
          <w:p w14:paraId="330B6D1E" w14:textId="6AAC5909" w:rsidR="004C597C" w:rsidRPr="00DC79CA" w:rsidRDefault="004C597C" w:rsidP="00DC79CA">
            <w:pPr>
              <w:pStyle w:val="ListParagraph"/>
              <w:numPr>
                <w:ilvl w:val="0"/>
                <w:numId w:val="23"/>
              </w:numPr>
              <w:rPr>
                <w:rFonts w:ascii="Work Sans" w:hAnsi="Work Sans"/>
              </w:rPr>
            </w:pPr>
            <w:r>
              <w:rPr>
                <w:rFonts w:ascii="Work Sans" w:hAnsi="Work Sans"/>
              </w:rPr>
              <w:t>In response to complaints about pest issues, we have u</w:t>
            </w:r>
            <w:r w:rsidR="008C101E" w:rsidRPr="0009691C">
              <w:rPr>
                <w:rFonts w:ascii="Work Sans" w:hAnsi="Work Sans"/>
              </w:rPr>
              <w:t xml:space="preserve">pdated our website to clearly explain when we will </w:t>
            </w:r>
            <w:proofErr w:type="gramStart"/>
            <w:r w:rsidR="008C101E" w:rsidRPr="0009691C">
              <w:rPr>
                <w:rFonts w:ascii="Work Sans" w:hAnsi="Work Sans"/>
              </w:rPr>
              <w:t>take action</w:t>
            </w:r>
            <w:proofErr w:type="gramEnd"/>
            <w:r w:rsidR="008C101E" w:rsidRPr="0009691C">
              <w:rPr>
                <w:rFonts w:ascii="Work Sans" w:hAnsi="Work Sans"/>
              </w:rPr>
              <w:t xml:space="preserve">, </w:t>
            </w:r>
            <w:r w:rsidR="00066C74" w:rsidRPr="00066C74">
              <w:rPr>
                <w:rFonts w:ascii="Work Sans" w:hAnsi="Work Sans"/>
              </w:rPr>
              <w:t>customer responsibilities, treatment responsibilities, and advice on preventing pests.</w:t>
            </w:r>
          </w:p>
          <w:p w14:paraId="7C70265D" w14:textId="0B249F1C" w:rsidR="7CDFDBDF" w:rsidRPr="00066C74" w:rsidRDefault="7CDFDBDF" w:rsidP="0099486C">
            <w:pPr>
              <w:pStyle w:val="ListParagraph"/>
              <w:numPr>
                <w:ilvl w:val="1"/>
                <w:numId w:val="1"/>
              </w:numPr>
              <w:spacing w:before="60" w:after="120"/>
              <w:ind w:left="794" w:hanging="794"/>
              <w:contextualSpacing w:val="0"/>
              <w:jc w:val="both"/>
              <w:rPr>
                <w:rFonts w:ascii="Work Sans" w:hAnsi="Work Sans"/>
                <w:b/>
                <w:bCs/>
              </w:rPr>
            </w:pPr>
            <w:r w:rsidRPr="00066C74">
              <w:rPr>
                <w:rFonts w:ascii="Work Sans" w:hAnsi="Work Sans"/>
                <w:b/>
                <w:bCs/>
              </w:rPr>
              <w:t>Decant Policy</w:t>
            </w:r>
          </w:p>
          <w:p w14:paraId="0B569488" w14:textId="26E29847" w:rsidR="00A21111" w:rsidRDefault="00B2366C" w:rsidP="00A21111">
            <w:pPr>
              <w:pStyle w:val="ListParagraph"/>
              <w:numPr>
                <w:ilvl w:val="0"/>
                <w:numId w:val="21"/>
              </w:numPr>
              <w:spacing w:before="60" w:after="120"/>
              <w:jc w:val="both"/>
              <w:rPr>
                <w:rFonts w:ascii="Work Sans" w:hAnsi="Work Sans" w:cs="Arial"/>
                <w:color w:val="000000"/>
                <w:kern w:val="24"/>
              </w:rPr>
            </w:pPr>
            <w:r>
              <w:rPr>
                <w:rFonts w:ascii="Work Sans" w:hAnsi="Work Sans" w:cs="Arial"/>
                <w:color w:val="000000"/>
                <w:kern w:val="24"/>
              </w:rPr>
              <w:t xml:space="preserve">In response to a complaint about a </w:t>
            </w:r>
            <w:r w:rsidR="00CC0533">
              <w:rPr>
                <w:rFonts w:ascii="Work Sans" w:hAnsi="Work Sans" w:cs="Arial"/>
                <w:color w:val="000000"/>
                <w:kern w:val="24"/>
              </w:rPr>
              <w:t>customer’s</w:t>
            </w:r>
            <w:r>
              <w:rPr>
                <w:rFonts w:ascii="Work Sans" w:hAnsi="Work Sans" w:cs="Arial"/>
                <w:color w:val="000000"/>
                <w:kern w:val="24"/>
              </w:rPr>
              <w:t xml:space="preserve"> experience during a ‘decant’, we are </w:t>
            </w:r>
            <w:r w:rsidR="00A21111" w:rsidRPr="00A21111">
              <w:rPr>
                <w:rFonts w:ascii="Work Sans" w:hAnsi="Work Sans" w:cs="Arial"/>
                <w:color w:val="000000"/>
                <w:kern w:val="24"/>
              </w:rPr>
              <w:t xml:space="preserve">reviewing and improving the </w:t>
            </w:r>
            <w:r w:rsidR="00A21111" w:rsidRPr="00A21111">
              <w:rPr>
                <w:rFonts w:ascii="Work Sans" w:hAnsi="Work Sans" w:cs="Arial"/>
                <w:b/>
                <w:bCs/>
                <w:color w:val="000000"/>
                <w:kern w:val="24"/>
              </w:rPr>
              <w:t>Decant Policy</w:t>
            </w:r>
            <w:r w:rsidR="00A21111" w:rsidRPr="00A21111">
              <w:rPr>
                <w:rFonts w:ascii="Work Sans" w:hAnsi="Work Sans" w:cs="Arial"/>
                <w:color w:val="000000"/>
                <w:kern w:val="24"/>
              </w:rPr>
              <w:t xml:space="preserve"> to ensure customers receive clearer information and consistent communication if they need to move home temporarily. </w:t>
            </w:r>
          </w:p>
          <w:p w14:paraId="78967209" w14:textId="77777777" w:rsidR="002C7E06" w:rsidRDefault="002C7E06" w:rsidP="002C7E06">
            <w:pPr>
              <w:pStyle w:val="ListParagraph"/>
              <w:spacing w:before="60" w:after="120"/>
              <w:ind w:left="1154"/>
              <w:jc w:val="both"/>
              <w:rPr>
                <w:rFonts w:ascii="Work Sans" w:hAnsi="Work Sans" w:cs="Arial"/>
                <w:color w:val="000000"/>
                <w:kern w:val="24"/>
              </w:rPr>
            </w:pPr>
          </w:p>
          <w:p w14:paraId="3B71E222" w14:textId="41C5E9F0" w:rsidR="7CDFDBDF" w:rsidRDefault="7CDFDBDF"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Major Incident Guidelines</w:t>
            </w:r>
          </w:p>
          <w:p w14:paraId="5D5817E8" w14:textId="48173A71" w:rsidR="004E4EEF" w:rsidRPr="004E4EEF" w:rsidRDefault="00816509" w:rsidP="004E4EEF">
            <w:pPr>
              <w:pStyle w:val="ListParagraph"/>
              <w:numPr>
                <w:ilvl w:val="0"/>
                <w:numId w:val="21"/>
              </w:numPr>
              <w:spacing w:before="60" w:after="120"/>
              <w:contextualSpacing w:val="0"/>
              <w:jc w:val="both"/>
              <w:rPr>
                <w:rFonts w:ascii="Work Sans" w:hAnsi="Work Sans"/>
                <w:b/>
                <w:bCs/>
              </w:rPr>
            </w:pPr>
            <w:r w:rsidRPr="00816509">
              <w:rPr>
                <w:rFonts w:ascii="Work Sans" w:hAnsi="Work Sans"/>
              </w:rPr>
              <w:t>F</w:t>
            </w:r>
            <w:proofErr w:type="spellStart"/>
            <w:r w:rsidRPr="00816509">
              <w:rPr>
                <w:rFonts w:ascii="Work Sans" w:hAnsi="Work Sans" w:cs="Arial"/>
                <w:color w:val="000000"/>
                <w:kern w:val="24"/>
                <w:lang w:val="en-US"/>
              </w:rPr>
              <w:t>ollowing</w:t>
            </w:r>
            <w:proofErr w:type="spellEnd"/>
            <w:r w:rsidRPr="00816509">
              <w:rPr>
                <w:rFonts w:ascii="Work Sans" w:hAnsi="Work Sans" w:cs="Arial"/>
                <w:color w:val="000000"/>
                <w:kern w:val="24"/>
                <w:lang w:val="en-US"/>
              </w:rPr>
              <w:t xml:space="preserve"> complaints about heating issues at Extra Care schemes, where escalation should have happened sooner, we have updated and re‑circulated our major incident guidelines to ensure staff are clearer about when issues should be treated as major incidents and escalated promptly.</w:t>
            </w:r>
          </w:p>
          <w:p w14:paraId="6694350A" w14:textId="3DF09B89" w:rsidR="006E3F91" w:rsidRPr="0009691C" w:rsidRDefault="006E3F91"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Anti-social Behaviour</w:t>
            </w:r>
            <w:r w:rsidR="00C91EAB">
              <w:rPr>
                <w:rFonts w:ascii="Work Sans" w:hAnsi="Work Sans"/>
                <w:b/>
                <w:bCs/>
              </w:rPr>
              <w:t xml:space="preserve"> (ASB)</w:t>
            </w:r>
          </w:p>
          <w:p w14:paraId="7C63E33C" w14:textId="47AEAE34" w:rsidR="00CD6487" w:rsidRDefault="00C91EAB" w:rsidP="00C91EAB">
            <w:pPr>
              <w:ind w:left="720"/>
              <w:rPr>
                <w:rFonts w:ascii="Work Sans" w:hAnsi="Work Sans"/>
              </w:rPr>
            </w:pPr>
            <w:r>
              <w:rPr>
                <w:rFonts w:ascii="Work Sans" w:hAnsi="Work Sans"/>
              </w:rPr>
              <w:t>Following customer insight about ASB, we have c</w:t>
            </w:r>
            <w:r w:rsidR="00CD6487">
              <w:rPr>
                <w:rFonts w:ascii="Work Sans" w:hAnsi="Work Sans"/>
              </w:rPr>
              <w:t>ontinue</w:t>
            </w:r>
            <w:r w:rsidR="00487534">
              <w:rPr>
                <w:rFonts w:ascii="Work Sans" w:hAnsi="Work Sans"/>
              </w:rPr>
              <w:t>d our ASB Improvement plan</w:t>
            </w:r>
            <w:r w:rsidR="003E1CC0">
              <w:rPr>
                <w:rFonts w:ascii="Work Sans" w:hAnsi="Work Sans"/>
              </w:rPr>
              <w:t>s</w:t>
            </w:r>
            <w:r w:rsidR="00487534">
              <w:rPr>
                <w:rFonts w:ascii="Work Sans" w:hAnsi="Work Sans"/>
              </w:rPr>
              <w:t xml:space="preserve"> to </w:t>
            </w:r>
            <w:r w:rsidR="003E1CC0">
              <w:rPr>
                <w:rFonts w:ascii="Work Sans" w:hAnsi="Work Sans"/>
              </w:rPr>
              <w:t>ensure</w:t>
            </w:r>
            <w:r w:rsidR="00120023">
              <w:rPr>
                <w:rFonts w:ascii="Work Sans" w:hAnsi="Work Sans"/>
              </w:rPr>
              <w:t>;</w:t>
            </w:r>
          </w:p>
          <w:p w14:paraId="49EBC69C" w14:textId="1D072915" w:rsidR="00487020" w:rsidRPr="003E1CC0" w:rsidRDefault="00120023" w:rsidP="007D2387">
            <w:pPr>
              <w:numPr>
                <w:ilvl w:val="0"/>
                <w:numId w:val="11"/>
              </w:numPr>
              <w:ind w:left="1151" w:hanging="357"/>
              <w:rPr>
                <w:rFonts w:ascii="Work Sans" w:hAnsi="Work Sans"/>
              </w:rPr>
            </w:pPr>
            <w:r w:rsidRPr="003E1CC0">
              <w:rPr>
                <w:rFonts w:ascii="Work Sans" w:hAnsi="Work Sans"/>
              </w:rPr>
              <w:t>Clearer information on the website for our customers</w:t>
            </w:r>
            <w:r w:rsidR="003E1CC0" w:rsidRPr="003E1CC0">
              <w:rPr>
                <w:rFonts w:ascii="Work Sans" w:hAnsi="Work Sans"/>
              </w:rPr>
              <w:t xml:space="preserve">, including </w:t>
            </w:r>
            <w:r w:rsidR="003E1CC0">
              <w:rPr>
                <w:rFonts w:ascii="Work Sans" w:hAnsi="Work Sans"/>
              </w:rPr>
              <w:t>C</w:t>
            </w:r>
            <w:r w:rsidR="00487020" w:rsidRPr="003E1CC0">
              <w:rPr>
                <w:rFonts w:ascii="Work Sans" w:hAnsi="Work Sans"/>
              </w:rPr>
              <w:t>ase st</w:t>
            </w:r>
            <w:r w:rsidR="002E271B" w:rsidRPr="003E1CC0">
              <w:rPr>
                <w:rFonts w:ascii="Work Sans" w:hAnsi="Work Sans"/>
              </w:rPr>
              <w:t>udies</w:t>
            </w:r>
            <w:r w:rsidR="003E1CC0">
              <w:rPr>
                <w:rFonts w:ascii="Work Sans" w:hAnsi="Work Sans"/>
              </w:rPr>
              <w:t xml:space="preserve"> as recommended by our Scrutiny Panel. </w:t>
            </w:r>
          </w:p>
          <w:p w14:paraId="13BEA677" w14:textId="77777777" w:rsidR="006E3F91" w:rsidRPr="0009691C" w:rsidRDefault="006E3F91" w:rsidP="00B94B6D">
            <w:pPr>
              <w:numPr>
                <w:ilvl w:val="0"/>
                <w:numId w:val="11"/>
              </w:numPr>
              <w:ind w:left="1151" w:hanging="357"/>
              <w:rPr>
                <w:rFonts w:ascii="Work Sans" w:hAnsi="Work Sans"/>
              </w:rPr>
            </w:pPr>
            <w:r w:rsidRPr="0009691C">
              <w:rPr>
                <w:rFonts w:ascii="Work Sans" w:hAnsi="Work Sans"/>
              </w:rPr>
              <w:t>Mandatory risk assessments to understand the impact of ASB and identify customer vulnerabilities</w:t>
            </w:r>
          </w:p>
          <w:p w14:paraId="1D65CF7B" w14:textId="2990EAD5" w:rsidR="006E3F91" w:rsidRPr="00646D15" w:rsidRDefault="006E3F91" w:rsidP="00646D15">
            <w:pPr>
              <w:numPr>
                <w:ilvl w:val="0"/>
                <w:numId w:val="11"/>
              </w:numPr>
              <w:ind w:left="1151" w:hanging="357"/>
              <w:rPr>
                <w:rFonts w:ascii="Work Sans" w:hAnsi="Work Sans"/>
              </w:rPr>
            </w:pPr>
            <w:r w:rsidRPr="0009691C">
              <w:rPr>
                <w:rFonts w:ascii="Work Sans" w:hAnsi="Work Sans"/>
              </w:rPr>
              <w:t>Clarity on the support and advice given by our Neighbourhoods team</w:t>
            </w:r>
          </w:p>
          <w:p w14:paraId="65D55349" w14:textId="77777777" w:rsidR="006E3F91" w:rsidRPr="0009691C" w:rsidRDefault="006E3F91"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Neighbourhoods and Estates</w:t>
            </w:r>
          </w:p>
          <w:p w14:paraId="384D5E59" w14:textId="77777777" w:rsidR="00413A53" w:rsidRDefault="009718F3" w:rsidP="00413A53">
            <w:pPr>
              <w:ind w:left="720"/>
              <w:rPr>
                <w:rFonts w:ascii="Work Sans" w:hAnsi="Work Sans"/>
              </w:rPr>
            </w:pPr>
            <w:r>
              <w:rPr>
                <w:rFonts w:ascii="Work Sans" w:hAnsi="Work Sans"/>
              </w:rPr>
              <w:t>We learned that some information about neighbourhood and estates issues was not clear for customers, and so we have</w:t>
            </w:r>
            <w:r w:rsidR="00413A53">
              <w:rPr>
                <w:rFonts w:ascii="Work Sans" w:hAnsi="Work Sans"/>
              </w:rPr>
              <w:t>:</w:t>
            </w:r>
          </w:p>
          <w:p w14:paraId="5BEA57CC" w14:textId="34D9DBAF" w:rsidR="006E3F91" w:rsidRPr="00413A53" w:rsidRDefault="00413A53" w:rsidP="00413A53">
            <w:pPr>
              <w:pStyle w:val="ListParagraph"/>
              <w:numPr>
                <w:ilvl w:val="0"/>
                <w:numId w:val="12"/>
              </w:numPr>
              <w:rPr>
                <w:rFonts w:ascii="Work Sans" w:hAnsi="Work Sans"/>
              </w:rPr>
            </w:pPr>
            <w:r>
              <w:rPr>
                <w:rFonts w:ascii="Work Sans" w:hAnsi="Work Sans"/>
              </w:rPr>
              <w:t>I</w:t>
            </w:r>
            <w:r w:rsidR="006E3F91" w:rsidRPr="00413A53">
              <w:rPr>
                <w:rFonts w:ascii="Work Sans" w:hAnsi="Work Sans"/>
              </w:rPr>
              <w:t>mprov</w:t>
            </w:r>
            <w:r w:rsidRPr="00413A53">
              <w:rPr>
                <w:rFonts w:ascii="Work Sans" w:hAnsi="Work Sans"/>
              </w:rPr>
              <w:t>ed</w:t>
            </w:r>
            <w:r w:rsidR="006E3F91" w:rsidRPr="00413A53">
              <w:rPr>
                <w:rFonts w:ascii="Work Sans" w:hAnsi="Work Sans"/>
              </w:rPr>
              <w:t xml:space="preserve"> information for customers on our website</w:t>
            </w:r>
            <w:r w:rsidR="005A3E43">
              <w:rPr>
                <w:rFonts w:ascii="Work Sans" w:hAnsi="Work Sans"/>
              </w:rPr>
              <w:t xml:space="preserve">, including clearer guidance about personal CCTV use. </w:t>
            </w:r>
          </w:p>
          <w:p w14:paraId="48371855" w14:textId="4C5E8499" w:rsidR="006E3F91" w:rsidRPr="0009691C" w:rsidRDefault="006E3F91" w:rsidP="00B94B6D">
            <w:pPr>
              <w:numPr>
                <w:ilvl w:val="0"/>
                <w:numId w:val="12"/>
              </w:numPr>
              <w:ind w:left="1151" w:hanging="357"/>
              <w:rPr>
                <w:rFonts w:ascii="Work Sans" w:hAnsi="Work Sans"/>
              </w:rPr>
            </w:pPr>
            <w:r w:rsidRPr="0009691C">
              <w:rPr>
                <w:rFonts w:ascii="Work Sans" w:hAnsi="Work Sans"/>
              </w:rPr>
              <w:t xml:space="preserve">We </w:t>
            </w:r>
            <w:r w:rsidR="00023B24">
              <w:rPr>
                <w:rFonts w:ascii="Work Sans" w:hAnsi="Work Sans"/>
              </w:rPr>
              <w:t xml:space="preserve">have </w:t>
            </w:r>
            <w:r w:rsidR="005A3E43">
              <w:rPr>
                <w:rFonts w:ascii="Work Sans" w:hAnsi="Work Sans"/>
              </w:rPr>
              <w:t xml:space="preserve">updated </w:t>
            </w:r>
            <w:r w:rsidR="00394309">
              <w:rPr>
                <w:rFonts w:ascii="Work Sans" w:hAnsi="Work Sans"/>
              </w:rPr>
              <w:t xml:space="preserve">our </w:t>
            </w:r>
            <w:r w:rsidR="00700FCD" w:rsidRPr="0009691C">
              <w:rPr>
                <w:rFonts w:ascii="Work Sans" w:hAnsi="Work Sans"/>
              </w:rPr>
              <w:t>Neighbourhood &amp; Estate</w:t>
            </w:r>
            <w:r w:rsidR="00DC79CA">
              <w:rPr>
                <w:rFonts w:ascii="Work Sans" w:hAnsi="Work Sans"/>
              </w:rPr>
              <w:t xml:space="preserve">s policies. </w:t>
            </w:r>
            <w:r w:rsidR="00700FCD" w:rsidRPr="0009691C">
              <w:rPr>
                <w:rFonts w:ascii="Work Sans" w:hAnsi="Work Sans"/>
              </w:rPr>
              <w:t xml:space="preserve"> </w:t>
            </w:r>
          </w:p>
          <w:p w14:paraId="7B231A53" w14:textId="07F7564F" w:rsidR="00DC79CA" w:rsidRPr="00646D15" w:rsidRDefault="006E3F91" w:rsidP="00646D15">
            <w:pPr>
              <w:numPr>
                <w:ilvl w:val="0"/>
                <w:numId w:val="12"/>
              </w:numPr>
              <w:ind w:left="1151" w:hanging="357"/>
              <w:rPr>
                <w:rFonts w:ascii="Work Sans" w:hAnsi="Work Sans"/>
              </w:rPr>
            </w:pPr>
            <w:r w:rsidRPr="0009691C">
              <w:rPr>
                <w:rFonts w:ascii="Work Sans" w:hAnsi="Work Sans"/>
              </w:rPr>
              <w:t>Provid</w:t>
            </w:r>
            <w:r w:rsidR="00DC79CA">
              <w:rPr>
                <w:rFonts w:ascii="Work Sans" w:hAnsi="Work Sans"/>
              </w:rPr>
              <w:t xml:space="preserve">ed </w:t>
            </w:r>
            <w:r w:rsidRPr="0009691C">
              <w:rPr>
                <w:rFonts w:ascii="Work Sans" w:hAnsi="Work Sans"/>
              </w:rPr>
              <w:t>clear</w:t>
            </w:r>
            <w:r w:rsidR="00DC79CA">
              <w:rPr>
                <w:rFonts w:ascii="Work Sans" w:hAnsi="Work Sans"/>
              </w:rPr>
              <w:t>er</w:t>
            </w:r>
            <w:r w:rsidRPr="0009691C">
              <w:rPr>
                <w:rFonts w:ascii="Work Sans" w:hAnsi="Work Sans"/>
              </w:rPr>
              <w:t xml:space="preserve"> information to customers on the estate services that SYHA provide, including communal cleaning and grounds maintenance, trees management and fly tipping. </w:t>
            </w:r>
          </w:p>
          <w:p w14:paraId="420BF148" w14:textId="77777777" w:rsidR="00A4694E" w:rsidRDefault="00646D15" w:rsidP="0019179A">
            <w:pPr>
              <w:pStyle w:val="ListParagraph"/>
              <w:numPr>
                <w:ilvl w:val="1"/>
                <w:numId w:val="1"/>
              </w:numPr>
              <w:spacing w:before="60" w:after="120"/>
              <w:ind w:left="794" w:hanging="794"/>
              <w:contextualSpacing w:val="0"/>
              <w:jc w:val="both"/>
              <w:rPr>
                <w:rFonts w:ascii="Work Sans" w:hAnsi="Work Sans"/>
                <w:b/>
                <w:bCs/>
              </w:rPr>
            </w:pPr>
            <w:r>
              <w:rPr>
                <w:rFonts w:ascii="Work Sans" w:hAnsi="Work Sans"/>
                <w:b/>
                <w:bCs/>
              </w:rPr>
              <w:t xml:space="preserve">Updated </w:t>
            </w:r>
            <w:r w:rsidR="00A4694E">
              <w:rPr>
                <w:rFonts w:ascii="Work Sans" w:hAnsi="Work Sans"/>
                <w:b/>
                <w:bCs/>
              </w:rPr>
              <w:t>Complaints Policy &amp; Compensation Policy</w:t>
            </w:r>
          </w:p>
          <w:p w14:paraId="6E8DCC39" w14:textId="041B65C0" w:rsidR="00A4694E" w:rsidRDefault="005B5367" w:rsidP="00A4694E">
            <w:pPr>
              <w:pStyle w:val="ListParagraph"/>
              <w:numPr>
                <w:ilvl w:val="0"/>
                <w:numId w:val="21"/>
              </w:numPr>
              <w:spacing w:before="60" w:after="120"/>
              <w:contextualSpacing w:val="0"/>
              <w:jc w:val="both"/>
              <w:rPr>
                <w:rFonts w:ascii="Work Sans" w:hAnsi="Work Sans"/>
              </w:rPr>
            </w:pPr>
            <w:r>
              <w:rPr>
                <w:rFonts w:ascii="Work Sans" w:hAnsi="Work Sans"/>
              </w:rPr>
              <w:t xml:space="preserve">We have updated our Complaints Policy and Compensation Policy following </w:t>
            </w:r>
            <w:r w:rsidR="00087B9B">
              <w:rPr>
                <w:rFonts w:ascii="Work Sans" w:hAnsi="Work Sans"/>
              </w:rPr>
              <w:t xml:space="preserve">feedback and new guidance from the Housing Ombudsman and customer insight. This ensures we remain </w:t>
            </w:r>
            <w:r w:rsidR="000E0572">
              <w:rPr>
                <w:rFonts w:ascii="Work Sans" w:hAnsi="Work Sans"/>
              </w:rPr>
              <w:t>compliant and</w:t>
            </w:r>
            <w:r w:rsidR="00087B9B">
              <w:rPr>
                <w:rFonts w:ascii="Work Sans" w:hAnsi="Work Sans"/>
              </w:rPr>
              <w:t xml:space="preserve"> will give customers greater clarity over the process. New compensation guidelines will ensure we make decisions that are fair and consistent. </w:t>
            </w:r>
          </w:p>
          <w:p w14:paraId="1F28FBDF" w14:textId="7DD61ED1" w:rsidR="00087B9B" w:rsidRPr="00A4694E" w:rsidRDefault="00087B9B" w:rsidP="00A4694E">
            <w:pPr>
              <w:pStyle w:val="ListParagraph"/>
              <w:numPr>
                <w:ilvl w:val="0"/>
                <w:numId w:val="21"/>
              </w:numPr>
              <w:spacing w:before="60" w:after="120"/>
              <w:contextualSpacing w:val="0"/>
              <w:jc w:val="both"/>
              <w:rPr>
                <w:rFonts w:ascii="Work Sans" w:hAnsi="Work Sans"/>
              </w:rPr>
            </w:pPr>
            <w:r>
              <w:rPr>
                <w:rFonts w:ascii="Work Sans" w:hAnsi="Work Sans"/>
              </w:rPr>
              <w:t>Th</w:t>
            </w:r>
            <w:r w:rsidR="006F0916">
              <w:rPr>
                <w:rFonts w:ascii="Work Sans" w:hAnsi="Work Sans"/>
              </w:rPr>
              <w:t>e new guidelines were advised by the Tenant Participation Advisory Service (</w:t>
            </w:r>
            <w:proofErr w:type="spellStart"/>
            <w:r w:rsidR="006F0916">
              <w:rPr>
                <w:rFonts w:ascii="Work Sans" w:hAnsi="Work Sans"/>
              </w:rPr>
              <w:t>Tpas</w:t>
            </w:r>
            <w:proofErr w:type="spellEnd"/>
            <w:r w:rsidR="006F0916">
              <w:rPr>
                <w:rFonts w:ascii="Work Sans" w:hAnsi="Work Sans"/>
              </w:rPr>
              <w:t>)</w:t>
            </w:r>
            <w:r w:rsidR="00272669">
              <w:rPr>
                <w:rFonts w:ascii="Work Sans" w:hAnsi="Work Sans"/>
              </w:rPr>
              <w:t xml:space="preserve"> </w:t>
            </w:r>
            <w:proofErr w:type="gramStart"/>
            <w:r w:rsidR="00272669">
              <w:rPr>
                <w:rFonts w:ascii="Work Sans" w:hAnsi="Work Sans"/>
              </w:rPr>
              <w:t>and also</w:t>
            </w:r>
            <w:proofErr w:type="gramEnd"/>
            <w:r w:rsidR="00272669">
              <w:rPr>
                <w:rFonts w:ascii="Work Sans" w:hAnsi="Work Sans"/>
              </w:rPr>
              <w:t xml:space="preserve"> include compensation requirements for new Heat Network regulations. </w:t>
            </w:r>
          </w:p>
          <w:p w14:paraId="33BAD2A8" w14:textId="78226B4D" w:rsidR="002711C4" w:rsidRPr="0009691C" w:rsidRDefault="002711C4" w:rsidP="0019179A">
            <w:pPr>
              <w:pStyle w:val="ListParagraph"/>
              <w:numPr>
                <w:ilvl w:val="1"/>
                <w:numId w:val="1"/>
              </w:numPr>
              <w:spacing w:before="60" w:after="120"/>
              <w:ind w:left="794" w:hanging="794"/>
              <w:contextualSpacing w:val="0"/>
              <w:jc w:val="both"/>
              <w:rPr>
                <w:rFonts w:ascii="Work Sans" w:hAnsi="Work Sans"/>
                <w:b/>
                <w:bCs/>
              </w:rPr>
            </w:pPr>
            <w:r w:rsidRPr="0009691C">
              <w:rPr>
                <w:rFonts w:ascii="Work Sans" w:hAnsi="Work Sans"/>
                <w:b/>
                <w:bCs/>
              </w:rPr>
              <w:t>Customer Data</w:t>
            </w:r>
            <w:r w:rsidR="006E23D4" w:rsidRPr="0009691C">
              <w:rPr>
                <w:rFonts w:ascii="Work Sans" w:hAnsi="Work Sans"/>
                <w:b/>
                <w:bCs/>
              </w:rPr>
              <w:t xml:space="preserve"> &amp; </w:t>
            </w:r>
            <w:r w:rsidR="0064513D">
              <w:rPr>
                <w:rFonts w:ascii="Work Sans" w:hAnsi="Work Sans"/>
                <w:b/>
                <w:bCs/>
              </w:rPr>
              <w:t>R</w:t>
            </w:r>
            <w:r w:rsidR="006E23D4" w:rsidRPr="0009691C">
              <w:rPr>
                <w:rFonts w:ascii="Work Sans" w:hAnsi="Work Sans"/>
                <w:b/>
                <w:bCs/>
              </w:rPr>
              <w:t xml:space="preserve">ecord </w:t>
            </w:r>
            <w:r w:rsidR="0064513D">
              <w:rPr>
                <w:rFonts w:ascii="Work Sans" w:hAnsi="Work Sans"/>
                <w:b/>
                <w:bCs/>
              </w:rPr>
              <w:t>K</w:t>
            </w:r>
            <w:r w:rsidR="006E23D4" w:rsidRPr="0009691C">
              <w:rPr>
                <w:rFonts w:ascii="Work Sans" w:hAnsi="Work Sans"/>
                <w:b/>
                <w:bCs/>
              </w:rPr>
              <w:t>eeping</w:t>
            </w:r>
          </w:p>
          <w:p w14:paraId="3B5B885A" w14:textId="666F5304" w:rsidR="00F854BC" w:rsidRPr="009465EB" w:rsidRDefault="006D63CD" w:rsidP="006D63CD">
            <w:pPr>
              <w:ind w:left="720"/>
              <w:jc w:val="both"/>
              <w:rPr>
                <w:rFonts w:ascii="Work Sans" w:hAnsi="Work Sans"/>
              </w:rPr>
            </w:pPr>
            <w:r w:rsidRPr="006D63CD">
              <w:rPr>
                <w:rFonts w:ascii="Work Sans" w:hAnsi="Work Sans"/>
              </w:rPr>
              <w:t>Experience from complaint handling has reinforced that knowing our customers well and maintaining accurate records is key to complaint resolution, and this has driven the following improvements to customer data and record keeping.</w:t>
            </w:r>
          </w:p>
          <w:p w14:paraId="24BB3C19" w14:textId="19F472C1" w:rsidR="006D2361" w:rsidRPr="00EA6763" w:rsidRDefault="006D63CD" w:rsidP="00EA6763">
            <w:pPr>
              <w:pStyle w:val="ListParagraph"/>
              <w:numPr>
                <w:ilvl w:val="0"/>
                <w:numId w:val="21"/>
              </w:numPr>
              <w:jc w:val="both"/>
              <w:rPr>
                <w:rFonts w:ascii="Work Sans" w:hAnsi="Work Sans"/>
              </w:rPr>
            </w:pPr>
            <w:r>
              <w:rPr>
                <w:rFonts w:ascii="Work Sans" w:hAnsi="Work Sans"/>
              </w:rPr>
              <w:t>M</w:t>
            </w:r>
            <w:r w:rsidR="00621B34" w:rsidRPr="00EA6763">
              <w:rPr>
                <w:rFonts w:ascii="Work Sans" w:hAnsi="Work Sans"/>
              </w:rPr>
              <w:t>onitor</w:t>
            </w:r>
            <w:r>
              <w:rPr>
                <w:rFonts w:ascii="Work Sans" w:hAnsi="Work Sans"/>
              </w:rPr>
              <w:t xml:space="preserve">ing customer </w:t>
            </w:r>
            <w:r w:rsidR="0020494A">
              <w:rPr>
                <w:rFonts w:ascii="Work Sans" w:hAnsi="Work Sans"/>
              </w:rPr>
              <w:t>‘</w:t>
            </w:r>
            <w:r w:rsidR="00621B34" w:rsidRPr="00EA6763">
              <w:rPr>
                <w:rFonts w:ascii="Work Sans" w:hAnsi="Work Sans"/>
              </w:rPr>
              <w:t>c</w:t>
            </w:r>
            <w:r w:rsidR="006D2361" w:rsidRPr="00EA6763">
              <w:rPr>
                <w:rFonts w:ascii="Work Sans" w:hAnsi="Work Sans"/>
              </w:rPr>
              <w:t>allback</w:t>
            </w:r>
            <w:r w:rsidR="0020494A">
              <w:rPr>
                <w:rFonts w:ascii="Work Sans" w:hAnsi="Work Sans"/>
              </w:rPr>
              <w:t>’</w:t>
            </w:r>
            <w:r w:rsidR="006D2361" w:rsidRPr="00EA6763">
              <w:rPr>
                <w:rFonts w:ascii="Work Sans" w:hAnsi="Work Sans"/>
              </w:rPr>
              <w:t xml:space="preserve"> requests</w:t>
            </w:r>
            <w:r w:rsidR="00F80134" w:rsidRPr="00EA6763">
              <w:rPr>
                <w:rFonts w:ascii="Work Sans" w:hAnsi="Work Sans"/>
              </w:rPr>
              <w:t xml:space="preserve"> </w:t>
            </w:r>
            <w:r w:rsidR="00D8480D" w:rsidRPr="00EA6763">
              <w:rPr>
                <w:rFonts w:ascii="Work Sans" w:hAnsi="Work Sans"/>
              </w:rPr>
              <w:t xml:space="preserve">for volume and length of time they are open </w:t>
            </w:r>
            <w:r w:rsidR="00BB032B">
              <w:rPr>
                <w:rFonts w:ascii="Work Sans" w:hAnsi="Work Sans"/>
              </w:rPr>
              <w:t xml:space="preserve">and raising with teams where </w:t>
            </w:r>
            <w:r w:rsidR="00FE28B9">
              <w:rPr>
                <w:rFonts w:ascii="Work Sans" w:hAnsi="Work Sans"/>
              </w:rPr>
              <w:t>necessary.</w:t>
            </w:r>
            <w:r w:rsidR="000231A1" w:rsidRPr="00EA6763">
              <w:rPr>
                <w:rFonts w:ascii="Work Sans" w:hAnsi="Work Sans"/>
              </w:rPr>
              <w:t xml:space="preserve"> </w:t>
            </w:r>
            <w:r w:rsidR="00A14A43" w:rsidRPr="00EA6763">
              <w:rPr>
                <w:rFonts w:ascii="Work Sans" w:hAnsi="Work Sans"/>
              </w:rPr>
              <w:t xml:space="preserve"> </w:t>
            </w:r>
          </w:p>
          <w:p w14:paraId="2244EF42" w14:textId="238608C8" w:rsidR="003A45D6" w:rsidRPr="00EA6763" w:rsidRDefault="0020494A" w:rsidP="00EA6763">
            <w:pPr>
              <w:pStyle w:val="ListParagraph"/>
              <w:numPr>
                <w:ilvl w:val="0"/>
                <w:numId w:val="21"/>
              </w:numPr>
              <w:jc w:val="both"/>
              <w:rPr>
                <w:rFonts w:ascii="Work Sans" w:hAnsi="Work Sans"/>
              </w:rPr>
            </w:pPr>
            <w:r>
              <w:rPr>
                <w:rFonts w:ascii="Work Sans" w:hAnsi="Work Sans"/>
              </w:rPr>
              <w:t xml:space="preserve">Continued the </w:t>
            </w:r>
            <w:r w:rsidR="009B5F90" w:rsidRPr="00EA6763">
              <w:rPr>
                <w:rFonts w:ascii="Work Sans" w:hAnsi="Work Sans"/>
              </w:rPr>
              <w:t xml:space="preserve">data collection campaign to improve </w:t>
            </w:r>
            <w:r w:rsidR="00814EF2" w:rsidRPr="00EA6763">
              <w:rPr>
                <w:rFonts w:ascii="Work Sans" w:hAnsi="Work Sans"/>
              </w:rPr>
              <w:t>customer</w:t>
            </w:r>
            <w:r w:rsidR="009B5F90" w:rsidRPr="00EA6763">
              <w:rPr>
                <w:rFonts w:ascii="Work Sans" w:hAnsi="Work Sans"/>
              </w:rPr>
              <w:t xml:space="preserve"> data and the </w:t>
            </w:r>
            <w:r w:rsidR="00814EF2" w:rsidRPr="00EA6763">
              <w:rPr>
                <w:rFonts w:ascii="Work Sans" w:hAnsi="Work Sans"/>
              </w:rPr>
              <w:t>services</w:t>
            </w:r>
            <w:r w:rsidR="009B5F90" w:rsidRPr="00EA6763">
              <w:rPr>
                <w:rFonts w:ascii="Work Sans" w:hAnsi="Work Sans"/>
              </w:rPr>
              <w:t xml:space="preserve"> that can be provided with this </w:t>
            </w:r>
            <w:r w:rsidR="00814EF2" w:rsidRPr="00EA6763">
              <w:rPr>
                <w:rFonts w:ascii="Work Sans" w:hAnsi="Work Sans"/>
              </w:rPr>
              <w:t xml:space="preserve">knowledge. </w:t>
            </w:r>
          </w:p>
          <w:p w14:paraId="33BB1549" w14:textId="18995010" w:rsidR="00416B95" w:rsidRPr="00EA6763" w:rsidRDefault="00CF15C1" w:rsidP="00EA6763">
            <w:pPr>
              <w:pStyle w:val="ListParagraph"/>
              <w:numPr>
                <w:ilvl w:val="0"/>
                <w:numId w:val="21"/>
              </w:numPr>
              <w:jc w:val="both"/>
              <w:rPr>
                <w:rFonts w:ascii="Work Sans" w:hAnsi="Work Sans"/>
              </w:rPr>
            </w:pPr>
            <w:r w:rsidRPr="00EA6763">
              <w:rPr>
                <w:rFonts w:ascii="Work Sans" w:hAnsi="Work Sans"/>
              </w:rPr>
              <w:t xml:space="preserve">Launched </w:t>
            </w:r>
            <w:r w:rsidR="0020494A">
              <w:rPr>
                <w:rFonts w:ascii="Work Sans" w:hAnsi="Work Sans"/>
              </w:rPr>
              <w:t xml:space="preserve">the </w:t>
            </w:r>
            <w:r w:rsidRPr="00EA6763">
              <w:rPr>
                <w:rFonts w:ascii="Work Sans" w:hAnsi="Work Sans"/>
              </w:rPr>
              <w:t>Vulnerability Policy</w:t>
            </w:r>
            <w:r w:rsidR="00F721CF" w:rsidRPr="00EA6763">
              <w:rPr>
                <w:rFonts w:ascii="Work Sans" w:hAnsi="Work Sans"/>
              </w:rPr>
              <w:t xml:space="preserve"> to give staff clearer guidance on what to check</w:t>
            </w:r>
            <w:r w:rsidR="00184542" w:rsidRPr="00EA6763">
              <w:rPr>
                <w:rFonts w:ascii="Work Sans" w:hAnsi="Work Sans"/>
              </w:rPr>
              <w:t>, what questions to ask and how to better consider individual circumstances.</w:t>
            </w:r>
            <w:r w:rsidR="00C4174E" w:rsidRPr="00EA6763">
              <w:rPr>
                <w:rFonts w:ascii="Work Sans" w:hAnsi="Work Sans"/>
              </w:rPr>
              <w:t xml:space="preserve">  </w:t>
            </w:r>
          </w:p>
          <w:p w14:paraId="57613101" w14:textId="113C6F07" w:rsidR="002E5D1F" w:rsidRDefault="0020494A" w:rsidP="0020494A">
            <w:pPr>
              <w:pStyle w:val="ListParagraph"/>
              <w:numPr>
                <w:ilvl w:val="0"/>
                <w:numId w:val="21"/>
              </w:numPr>
              <w:spacing w:after="240"/>
              <w:jc w:val="both"/>
              <w:rPr>
                <w:rFonts w:ascii="Work Sans" w:hAnsi="Work Sans"/>
              </w:rPr>
            </w:pPr>
            <w:r>
              <w:rPr>
                <w:rFonts w:ascii="Work Sans" w:hAnsi="Work Sans"/>
              </w:rPr>
              <w:t xml:space="preserve">Raised staff awareness through </w:t>
            </w:r>
            <w:r w:rsidR="00C4174E" w:rsidRPr="00EA6763">
              <w:rPr>
                <w:rFonts w:ascii="Work Sans" w:hAnsi="Work Sans"/>
              </w:rPr>
              <w:t xml:space="preserve">our monthly complaint </w:t>
            </w:r>
            <w:r w:rsidR="0009691C" w:rsidRPr="00EA6763">
              <w:rPr>
                <w:rFonts w:ascii="Work Sans" w:hAnsi="Work Sans"/>
              </w:rPr>
              <w:t xml:space="preserve">email </w:t>
            </w:r>
            <w:r>
              <w:rPr>
                <w:rFonts w:ascii="Work Sans" w:hAnsi="Work Sans"/>
              </w:rPr>
              <w:t xml:space="preserve">about </w:t>
            </w:r>
            <w:r w:rsidR="0009691C" w:rsidRPr="00EA6763">
              <w:rPr>
                <w:rFonts w:ascii="Work Sans" w:hAnsi="Work Sans"/>
              </w:rPr>
              <w:t xml:space="preserve">the importance of </w:t>
            </w:r>
            <w:r w:rsidR="006C1973" w:rsidRPr="00EA6763">
              <w:rPr>
                <w:rFonts w:ascii="Work Sans" w:hAnsi="Work Sans"/>
              </w:rPr>
              <w:t>good record keepi</w:t>
            </w:r>
            <w:r w:rsidR="002D6E9A" w:rsidRPr="00EA6763">
              <w:rPr>
                <w:rFonts w:ascii="Work Sans" w:hAnsi="Work Sans"/>
              </w:rPr>
              <w:t>ng</w:t>
            </w:r>
            <w:r w:rsidR="0009691C" w:rsidRPr="00EA6763">
              <w:rPr>
                <w:rFonts w:ascii="Work Sans" w:hAnsi="Work Sans"/>
              </w:rPr>
              <w:t>.</w:t>
            </w:r>
            <w:r w:rsidR="001619AC" w:rsidRPr="00EA6763">
              <w:rPr>
                <w:rFonts w:ascii="Work Sans" w:hAnsi="Work Sans"/>
              </w:rPr>
              <w:t xml:space="preserve"> </w:t>
            </w:r>
          </w:p>
          <w:p w14:paraId="29D7A594" w14:textId="6044FC1E" w:rsidR="0064513D" w:rsidRDefault="00C61B8F" w:rsidP="0020494A">
            <w:pPr>
              <w:pStyle w:val="ListParagraph"/>
              <w:numPr>
                <w:ilvl w:val="0"/>
                <w:numId w:val="21"/>
              </w:numPr>
              <w:spacing w:after="240"/>
              <w:jc w:val="both"/>
              <w:rPr>
                <w:rFonts w:ascii="Work Sans" w:hAnsi="Work Sans"/>
              </w:rPr>
            </w:pPr>
            <w:r>
              <w:rPr>
                <w:rFonts w:ascii="Work Sans" w:hAnsi="Work Sans"/>
              </w:rPr>
              <w:t xml:space="preserve">Planned improvements to the </w:t>
            </w:r>
            <w:proofErr w:type="spellStart"/>
            <w:r>
              <w:rPr>
                <w:rFonts w:ascii="Work Sans" w:hAnsi="Work Sans"/>
              </w:rPr>
              <w:t>Cx</w:t>
            </w:r>
            <w:proofErr w:type="spellEnd"/>
            <w:r>
              <w:rPr>
                <w:rFonts w:ascii="Work Sans" w:hAnsi="Work Sans"/>
              </w:rPr>
              <w:t xml:space="preserve"> system to track actions arising from complaints to ensure they are </w:t>
            </w:r>
            <w:r w:rsidR="004D7702">
              <w:rPr>
                <w:rFonts w:ascii="Work Sans" w:hAnsi="Work Sans"/>
              </w:rPr>
              <w:t>completed and</w:t>
            </w:r>
            <w:r>
              <w:rPr>
                <w:rFonts w:ascii="Work Sans" w:hAnsi="Work Sans"/>
              </w:rPr>
              <w:t xml:space="preserve"> reduce the risk of stage 2 escalations. </w:t>
            </w:r>
          </w:p>
          <w:p w14:paraId="74566011" w14:textId="77777777" w:rsidR="002C7E06" w:rsidRDefault="002C7E06" w:rsidP="002C7E06">
            <w:pPr>
              <w:pStyle w:val="ListParagraph"/>
              <w:spacing w:after="240"/>
              <w:ind w:left="1154"/>
              <w:jc w:val="both"/>
              <w:rPr>
                <w:rFonts w:ascii="Work Sans" w:hAnsi="Work Sans"/>
              </w:rPr>
            </w:pPr>
          </w:p>
          <w:p w14:paraId="26B1A959" w14:textId="1F1427C5" w:rsidR="002C7E06" w:rsidRPr="00D62EED" w:rsidRDefault="002C7E06" w:rsidP="002C7E06">
            <w:pPr>
              <w:pStyle w:val="ListParagraph"/>
              <w:spacing w:before="60" w:after="120"/>
              <w:ind w:left="794"/>
              <w:jc w:val="both"/>
              <w:rPr>
                <w:rFonts w:ascii="Work Sans" w:hAnsi="Work Sans"/>
                <w:b/>
                <w:bCs/>
              </w:rPr>
            </w:pPr>
            <w:r w:rsidRPr="00D62EED">
              <w:rPr>
                <w:rFonts w:ascii="Work Sans" w:hAnsi="Work Sans"/>
                <w:b/>
                <w:bCs/>
              </w:rPr>
              <w:t>Conclusion</w:t>
            </w:r>
          </w:p>
          <w:p w14:paraId="13E12AAF" w14:textId="48DC5D39" w:rsidR="00E64A6B" w:rsidRPr="0009691C" w:rsidRDefault="00AF6DF7" w:rsidP="00D62EED">
            <w:pPr>
              <w:pStyle w:val="ListParagraph"/>
              <w:numPr>
                <w:ilvl w:val="1"/>
                <w:numId w:val="1"/>
              </w:numPr>
              <w:spacing w:before="60" w:after="120"/>
              <w:ind w:left="794" w:hanging="794"/>
              <w:jc w:val="both"/>
              <w:rPr>
                <w:rFonts w:ascii="Work Sans" w:hAnsi="Work Sans" w:cs="Arial"/>
              </w:rPr>
            </w:pPr>
            <w:r w:rsidRPr="00AF6DF7">
              <w:rPr>
                <w:rFonts w:ascii="Work Sans" w:hAnsi="Work Sans"/>
              </w:rPr>
              <w:t>In conclusion, we are proud of our performance during the year, particularly the improvement in our TSM satisfaction results. We are pleased to be able to clearly demonstrate learning from complaints and service delivery, and we remain committed to building on this progress as we continue to improve services for customers and drive continuous improvement.</w:t>
            </w:r>
          </w:p>
        </w:tc>
      </w:tr>
      <w:tr w:rsidR="00994412" w:rsidRPr="004C0427" w14:paraId="13E12AB2" w14:textId="77777777" w:rsidTr="742B7822">
        <w:trPr>
          <w:trHeight w:val="289"/>
        </w:trPr>
        <w:tc>
          <w:tcPr>
            <w:tcW w:w="10207" w:type="dxa"/>
            <w:gridSpan w:val="7"/>
            <w:shd w:val="clear" w:color="auto" w:fill="D9D9D9" w:themeFill="background1" w:themeFillShade="D9"/>
          </w:tcPr>
          <w:p w14:paraId="13E12AB1" w14:textId="77777777" w:rsidR="00994412" w:rsidRPr="004C0427" w:rsidRDefault="00184B1B" w:rsidP="0019179A">
            <w:pPr>
              <w:pStyle w:val="ListParagraph"/>
              <w:numPr>
                <w:ilvl w:val="0"/>
                <w:numId w:val="1"/>
              </w:numPr>
              <w:spacing w:before="60" w:after="120"/>
              <w:jc w:val="both"/>
              <w:rPr>
                <w:rFonts w:ascii="Work Sans" w:hAnsi="Work Sans" w:cs="Arial"/>
                <w:b/>
                <w:bCs/>
              </w:rPr>
            </w:pPr>
            <w:r w:rsidRPr="004C0427">
              <w:rPr>
                <w:rFonts w:ascii="Work Sans" w:hAnsi="Work Sans" w:cs="Arial"/>
                <w:b/>
                <w:bCs/>
              </w:rPr>
              <w:lastRenderedPageBreak/>
              <w:t>RISK MANAGEMENT</w:t>
            </w:r>
          </w:p>
        </w:tc>
      </w:tr>
      <w:tr w:rsidR="00AA3D64" w:rsidRPr="004C0427" w14:paraId="13E12AB5" w14:textId="77777777" w:rsidTr="742B7822">
        <w:tc>
          <w:tcPr>
            <w:tcW w:w="3987" w:type="dxa"/>
            <w:gridSpan w:val="3"/>
          </w:tcPr>
          <w:p w14:paraId="13E12AB3" w14:textId="77777777" w:rsidR="00AA3D64" w:rsidRPr="004C0427" w:rsidRDefault="00AA3D64" w:rsidP="008410A0">
            <w:pPr>
              <w:spacing w:before="60" w:after="120"/>
              <w:jc w:val="both"/>
              <w:rPr>
                <w:rFonts w:ascii="Work Sans" w:hAnsi="Work Sans" w:cs="Arial"/>
                <w:b/>
              </w:rPr>
            </w:pPr>
            <w:r w:rsidRPr="004C0427">
              <w:rPr>
                <w:rFonts w:ascii="Work Sans" w:hAnsi="Work Sans" w:cs="Arial"/>
                <w:b/>
              </w:rPr>
              <w:t>Risk Level</w:t>
            </w:r>
          </w:p>
        </w:tc>
        <w:tc>
          <w:tcPr>
            <w:tcW w:w="6220" w:type="dxa"/>
            <w:gridSpan w:val="4"/>
          </w:tcPr>
          <w:p w14:paraId="13E12AB4" w14:textId="2A3BB812" w:rsidR="00AA3D64" w:rsidRPr="004C0427" w:rsidRDefault="008F4CF7" w:rsidP="008410A0">
            <w:pPr>
              <w:spacing w:before="60" w:after="120"/>
              <w:jc w:val="both"/>
              <w:rPr>
                <w:rFonts w:ascii="Work Sans" w:hAnsi="Work Sans" w:cs="Arial"/>
              </w:rPr>
            </w:pPr>
            <w:r>
              <w:rPr>
                <w:rFonts w:ascii="Work Sans" w:hAnsi="Work Sans" w:cs="Arial"/>
              </w:rPr>
              <w:t>High</w:t>
            </w:r>
          </w:p>
        </w:tc>
      </w:tr>
      <w:tr w:rsidR="00994412" w:rsidRPr="00542A5F" w14:paraId="13E12AB8" w14:textId="77777777" w:rsidTr="742B7822">
        <w:tc>
          <w:tcPr>
            <w:tcW w:w="10207" w:type="dxa"/>
            <w:gridSpan w:val="7"/>
          </w:tcPr>
          <w:p w14:paraId="24CECE1F" w14:textId="05B93EA6" w:rsidR="00EB7128" w:rsidRPr="001038EB" w:rsidRDefault="00AD3C76" w:rsidP="0019179A">
            <w:pPr>
              <w:pStyle w:val="ListParagraph"/>
              <w:numPr>
                <w:ilvl w:val="1"/>
                <w:numId w:val="1"/>
              </w:numPr>
              <w:spacing w:before="60" w:after="120"/>
              <w:ind w:left="794" w:hanging="794"/>
              <w:contextualSpacing w:val="0"/>
              <w:jc w:val="both"/>
              <w:rPr>
                <w:rFonts w:ascii="Work Sans" w:hAnsi="Work Sans" w:cs="Arial"/>
              </w:rPr>
            </w:pPr>
            <w:r w:rsidRPr="001038EB">
              <w:rPr>
                <w:rFonts w:ascii="Work Sans" w:hAnsi="Work Sans" w:cs="Arial"/>
              </w:rPr>
              <w:t>Any increase in complaint volumes places additional pressure on resources and may impact complaint‑handling performance. In 2025/26, while overall volumes did not increase across the year, there were significantly higher volumes during the winter months. Although performance levels were maintained or improved, further increases in complaint volumes and/or staff attrition could result in resources becoming more stretched.</w:t>
            </w:r>
          </w:p>
          <w:p w14:paraId="2CC64E6F" w14:textId="77777777" w:rsidR="00EB7128" w:rsidRPr="001038EB" w:rsidRDefault="00EB7128" w:rsidP="0019179A">
            <w:pPr>
              <w:pStyle w:val="ListParagraph"/>
              <w:numPr>
                <w:ilvl w:val="1"/>
                <w:numId w:val="1"/>
              </w:numPr>
              <w:spacing w:before="60" w:after="120"/>
              <w:ind w:left="794" w:hanging="794"/>
              <w:contextualSpacing w:val="0"/>
              <w:jc w:val="both"/>
              <w:rPr>
                <w:rFonts w:ascii="Work Sans" w:hAnsi="Work Sans" w:cs="Arial"/>
              </w:rPr>
            </w:pPr>
            <w:r w:rsidRPr="001038EB">
              <w:rPr>
                <w:rFonts w:ascii="Work Sans" w:hAnsi="Work Sans" w:cs="Arial"/>
              </w:rPr>
              <w:t xml:space="preserve">Any reduction in performance would have a negative on customers and impact on SYHAs reputation.  Poor complaint handling could lead to an increase in investigations by HOS and compensation payments.  </w:t>
            </w:r>
          </w:p>
          <w:p w14:paraId="16B09AE3" w14:textId="28675000" w:rsidR="00A503BF" w:rsidRPr="001038EB" w:rsidRDefault="00A503BF" w:rsidP="0019179A">
            <w:pPr>
              <w:pStyle w:val="ListParagraph"/>
              <w:numPr>
                <w:ilvl w:val="1"/>
                <w:numId w:val="1"/>
              </w:numPr>
              <w:spacing w:before="60" w:after="120"/>
              <w:ind w:left="794" w:hanging="794"/>
              <w:contextualSpacing w:val="0"/>
              <w:jc w:val="both"/>
              <w:rPr>
                <w:rFonts w:ascii="Work Sans" w:hAnsi="Work Sans" w:cs="Arial"/>
              </w:rPr>
            </w:pPr>
            <w:r w:rsidRPr="001038EB">
              <w:rPr>
                <w:rFonts w:ascii="Work Sans" w:hAnsi="Work Sans" w:cs="Arial"/>
              </w:rPr>
              <w:t>An increase in Stage 2 complaint reviews is placing pressure on resources across the business. While we have been able to sustain the rise observed in the latter half of the year, we should remain mindful that any continued increase could lead to further strain on resources</w:t>
            </w:r>
            <w:r w:rsidR="006619ED" w:rsidRPr="001038EB">
              <w:rPr>
                <w:rFonts w:ascii="Work Sans" w:hAnsi="Work Sans" w:cs="Arial"/>
              </w:rPr>
              <w:t>.</w:t>
            </w:r>
          </w:p>
          <w:p w14:paraId="02C096DF" w14:textId="10984F53" w:rsidR="006619ED" w:rsidRPr="001038EB" w:rsidRDefault="00A161A4" w:rsidP="0019179A">
            <w:pPr>
              <w:pStyle w:val="ListParagraph"/>
              <w:numPr>
                <w:ilvl w:val="1"/>
                <w:numId w:val="1"/>
              </w:numPr>
              <w:spacing w:before="60" w:after="120"/>
              <w:ind w:left="794" w:hanging="794"/>
              <w:contextualSpacing w:val="0"/>
              <w:jc w:val="both"/>
              <w:rPr>
                <w:rFonts w:ascii="Work Sans" w:hAnsi="Work Sans" w:cs="Arial"/>
              </w:rPr>
            </w:pPr>
            <w:r w:rsidRPr="001038EB">
              <w:rPr>
                <w:rFonts w:ascii="Work Sans" w:hAnsi="Work Sans" w:cs="Arial"/>
              </w:rPr>
              <w:t>Where actions arising from complaints are not tracked through to completion, there is an increased risk of issues remaining unresolved, leading to escalation to Stage 2 and potential referral to the Housing Ombudsman.</w:t>
            </w:r>
          </w:p>
          <w:p w14:paraId="45DF4F36" w14:textId="77777777" w:rsidR="00347FAE" w:rsidRPr="001038EB" w:rsidRDefault="00EB7128" w:rsidP="00347FAE">
            <w:pPr>
              <w:pStyle w:val="ListParagraph"/>
              <w:numPr>
                <w:ilvl w:val="1"/>
                <w:numId w:val="1"/>
              </w:numPr>
              <w:spacing w:before="60" w:after="240"/>
              <w:ind w:left="794" w:hanging="794"/>
              <w:jc w:val="both"/>
              <w:rPr>
                <w:rFonts w:ascii="Work Sans" w:hAnsi="Work Sans" w:cs="Arial"/>
              </w:rPr>
            </w:pPr>
            <w:r w:rsidRPr="001038EB">
              <w:rPr>
                <w:rFonts w:ascii="Work Sans" w:hAnsi="Work Sans" w:cs="Arial"/>
              </w:rPr>
              <w:t xml:space="preserve">A Complaints Working Group </w:t>
            </w:r>
            <w:r w:rsidR="00C749FD" w:rsidRPr="001038EB">
              <w:rPr>
                <w:rFonts w:ascii="Work Sans" w:hAnsi="Work Sans" w:cs="Arial"/>
              </w:rPr>
              <w:t xml:space="preserve">runs regularly </w:t>
            </w:r>
            <w:r w:rsidRPr="001038EB">
              <w:rPr>
                <w:rFonts w:ascii="Work Sans" w:hAnsi="Work Sans" w:cs="Arial"/>
              </w:rPr>
              <w:t>to draw together key people from across SYHA to support a culture of learning from complaints and tackling areas</w:t>
            </w:r>
            <w:r w:rsidR="00E50253" w:rsidRPr="001038EB">
              <w:rPr>
                <w:rFonts w:ascii="Work Sans" w:hAnsi="Work Sans" w:cs="Arial"/>
              </w:rPr>
              <w:t xml:space="preserve"> </w:t>
            </w:r>
            <w:r w:rsidRPr="001038EB">
              <w:rPr>
                <w:rFonts w:ascii="Work Sans" w:hAnsi="Work Sans" w:cs="Arial"/>
              </w:rPr>
              <w:t>of poor performance.</w:t>
            </w:r>
            <w:r w:rsidR="00347FAE" w:rsidRPr="001038EB">
              <w:rPr>
                <w:rFonts w:ascii="Work Sans" w:hAnsi="Work Sans" w:cs="Arial"/>
              </w:rPr>
              <w:t xml:space="preserve"> </w:t>
            </w:r>
          </w:p>
          <w:p w14:paraId="13E12AB7" w14:textId="53F0544F" w:rsidR="00F42E43" w:rsidRPr="001038EB" w:rsidRDefault="00EB7128" w:rsidP="00347FAE">
            <w:pPr>
              <w:pStyle w:val="ListParagraph"/>
              <w:numPr>
                <w:ilvl w:val="1"/>
                <w:numId w:val="1"/>
              </w:numPr>
              <w:spacing w:before="60" w:after="240"/>
              <w:ind w:left="794" w:hanging="794"/>
              <w:jc w:val="both"/>
              <w:rPr>
                <w:rFonts w:ascii="Work Sans" w:hAnsi="Work Sans" w:cs="Arial"/>
              </w:rPr>
            </w:pPr>
            <w:r w:rsidRPr="001038EB">
              <w:rPr>
                <w:rFonts w:ascii="Work Sans" w:hAnsi="Work Sans" w:cs="Arial"/>
              </w:rPr>
              <w:t xml:space="preserve">A close working relationship with the Member Responsible for Complaints ensures complaint handling is regularly monitored and performance shared with the Board. </w:t>
            </w:r>
          </w:p>
        </w:tc>
      </w:tr>
      <w:tr w:rsidR="00994412" w:rsidRPr="00542A5F" w14:paraId="13E12ABA" w14:textId="77777777" w:rsidTr="742B7822">
        <w:trPr>
          <w:trHeight w:val="234"/>
        </w:trPr>
        <w:tc>
          <w:tcPr>
            <w:tcW w:w="10207" w:type="dxa"/>
            <w:gridSpan w:val="7"/>
            <w:shd w:val="clear" w:color="auto" w:fill="D9D9D9" w:themeFill="background1" w:themeFillShade="D9"/>
          </w:tcPr>
          <w:p w14:paraId="13E12AB9" w14:textId="77777777" w:rsidR="00994412" w:rsidRPr="001038EB" w:rsidRDefault="00184B1B" w:rsidP="0019179A">
            <w:pPr>
              <w:pStyle w:val="ListParagraph"/>
              <w:numPr>
                <w:ilvl w:val="0"/>
                <w:numId w:val="1"/>
              </w:numPr>
              <w:spacing w:before="60" w:after="120"/>
              <w:jc w:val="both"/>
              <w:rPr>
                <w:rFonts w:ascii="Work Sans" w:hAnsi="Work Sans" w:cs="Arial"/>
                <w:b/>
              </w:rPr>
            </w:pPr>
            <w:r w:rsidRPr="001038EB">
              <w:rPr>
                <w:rFonts w:ascii="Work Sans" w:hAnsi="Work Sans" w:cs="Arial"/>
                <w:b/>
              </w:rPr>
              <w:t xml:space="preserve">BUDGETARY, FINANCIAL AND VFM IMPLICATIONS </w:t>
            </w:r>
          </w:p>
        </w:tc>
      </w:tr>
      <w:tr w:rsidR="00994412" w:rsidRPr="00542A5F" w14:paraId="13E12ABC" w14:textId="77777777" w:rsidTr="742B7822">
        <w:tc>
          <w:tcPr>
            <w:tcW w:w="10207" w:type="dxa"/>
            <w:gridSpan w:val="7"/>
          </w:tcPr>
          <w:p w14:paraId="7EE40260" w14:textId="6B05A000" w:rsidR="00BD417E" w:rsidRDefault="001038EB" w:rsidP="0019179A">
            <w:pPr>
              <w:pStyle w:val="ListParagraph"/>
              <w:numPr>
                <w:ilvl w:val="1"/>
                <w:numId w:val="1"/>
              </w:numPr>
              <w:spacing w:before="60" w:after="120"/>
              <w:ind w:left="794" w:hanging="794"/>
              <w:contextualSpacing w:val="0"/>
              <w:jc w:val="both"/>
              <w:rPr>
                <w:rFonts w:ascii="Work Sans" w:hAnsi="Work Sans" w:cs="Arial"/>
                <w:bCs/>
              </w:rPr>
            </w:pPr>
            <w:r w:rsidRPr="001038EB">
              <w:rPr>
                <w:rFonts w:ascii="Work Sans" w:hAnsi="Work Sans" w:cs="Arial"/>
                <w:bCs/>
              </w:rPr>
              <w:t>There is a regulatory expectation that complaints handling is appropriately resourced. While overall complaint volumes have remained stable, seasonal surges and an increase in review requests place additional pressure on existing capacity. To maintain compliance and service standards, this may require consideration of additional resources where demand continues to grow.</w:t>
            </w:r>
          </w:p>
          <w:p w14:paraId="13E12ABB" w14:textId="09259222" w:rsidR="00D82000" w:rsidRPr="00A933F1" w:rsidRDefault="00A933F1" w:rsidP="00A933F1">
            <w:pPr>
              <w:pStyle w:val="ListParagraph"/>
              <w:numPr>
                <w:ilvl w:val="1"/>
                <w:numId w:val="1"/>
              </w:numPr>
              <w:spacing w:before="60" w:after="120"/>
              <w:ind w:left="794" w:hanging="794"/>
              <w:contextualSpacing w:val="0"/>
              <w:jc w:val="both"/>
              <w:rPr>
                <w:rFonts w:ascii="Work Sans" w:hAnsi="Work Sans" w:cs="Arial"/>
                <w:bCs/>
              </w:rPr>
            </w:pPr>
            <w:r w:rsidRPr="00A933F1">
              <w:rPr>
                <w:rFonts w:ascii="Work Sans" w:hAnsi="Work Sans" w:cs="Arial"/>
                <w:bCs/>
              </w:rPr>
              <w:t>The updated Compensation Policy aligns with the latest Housing Ombudsman guidance, providing clearer and more consistent parameters for awards. As a result, compensation spend may increase. In addition, any rise in complaints driven by service issues, or in repeat handling due to poor complaint resolution, can further increase compensation costs—reinforcing the importance of getting things right first time and learning from complaints.</w:t>
            </w:r>
          </w:p>
        </w:tc>
      </w:tr>
      <w:tr w:rsidR="007C3D56" w:rsidRPr="00542A5F" w14:paraId="13E12ABE" w14:textId="77777777" w:rsidTr="742B7822">
        <w:trPr>
          <w:trHeight w:val="289"/>
        </w:trPr>
        <w:tc>
          <w:tcPr>
            <w:tcW w:w="10207" w:type="dxa"/>
            <w:gridSpan w:val="7"/>
            <w:shd w:val="clear" w:color="auto" w:fill="D9D9D9" w:themeFill="background1" w:themeFillShade="D9"/>
          </w:tcPr>
          <w:p w14:paraId="13E12ABD" w14:textId="77777777" w:rsidR="007C3D56" w:rsidRPr="00542A5F" w:rsidRDefault="00184B1B" w:rsidP="0019179A">
            <w:pPr>
              <w:pStyle w:val="ListParagraph"/>
              <w:numPr>
                <w:ilvl w:val="0"/>
                <w:numId w:val="1"/>
              </w:numPr>
              <w:spacing w:before="60" w:after="120"/>
              <w:jc w:val="both"/>
              <w:rPr>
                <w:rFonts w:ascii="Work Sans" w:hAnsi="Work Sans" w:cs="Arial"/>
                <w:b/>
              </w:rPr>
            </w:pPr>
            <w:r w:rsidRPr="00542A5F">
              <w:rPr>
                <w:rFonts w:ascii="Work Sans" w:hAnsi="Work Sans" w:cs="Arial"/>
                <w:b/>
              </w:rPr>
              <w:t>ASSURANCE STATEMENT</w:t>
            </w:r>
          </w:p>
        </w:tc>
      </w:tr>
      <w:tr w:rsidR="007C3D56" w:rsidRPr="00542A5F" w14:paraId="13E12AC0" w14:textId="77777777" w:rsidTr="742B7822">
        <w:trPr>
          <w:trHeight w:val="289"/>
        </w:trPr>
        <w:tc>
          <w:tcPr>
            <w:tcW w:w="10207" w:type="dxa"/>
            <w:gridSpan w:val="7"/>
          </w:tcPr>
          <w:p w14:paraId="6D48229A" w14:textId="04CEC2DE" w:rsidR="00E0604D" w:rsidRPr="00542A5F" w:rsidRDefault="008C2AB2" w:rsidP="0019179A">
            <w:pPr>
              <w:pStyle w:val="ListParagraph"/>
              <w:numPr>
                <w:ilvl w:val="1"/>
                <w:numId w:val="1"/>
              </w:numPr>
              <w:spacing w:before="60" w:after="120"/>
              <w:ind w:left="794" w:hanging="794"/>
              <w:contextualSpacing w:val="0"/>
              <w:jc w:val="both"/>
              <w:rPr>
                <w:rFonts w:ascii="Work Sans" w:hAnsi="Work Sans" w:cs="Arial"/>
                <w:b/>
              </w:rPr>
            </w:pPr>
            <w:r w:rsidRPr="008C2AB2">
              <w:rPr>
                <w:rFonts w:ascii="Work Sans" w:hAnsi="Work Sans" w:cs="Arial"/>
              </w:rPr>
              <w:t>The breadth of data provided in this report gives assurance that we understand our performance and where improvements are needed.</w:t>
            </w:r>
          </w:p>
          <w:p w14:paraId="13E12ABF" w14:textId="51B99B79" w:rsidR="00E0604D" w:rsidRPr="00542A5F" w:rsidRDefault="008C2AB2" w:rsidP="0019179A">
            <w:pPr>
              <w:pStyle w:val="ListParagraph"/>
              <w:numPr>
                <w:ilvl w:val="1"/>
                <w:numId w:val="1"/>
              </w:numPr>
              <w:spacing w:before="60" w:after="120"/>
              <w:ind w:left="794" w:hanging="794"/>
              <w:contextualSpacing w:val="0"/>
              <w:jc w:val="both"/>
              <w:rPr>
                <w:rFonts w:ascii="Work Sans" w:hAnsi="Work Sans" w:cs="Arial"/>
                <w:b/>
              </w:rPr>
            </w:pPr>
            <w:r w:rsidRPr="008C2AB2">
              <w:rPr>
                <w:rFonts w:ascii="Work Sans" w:hAnsi="Work Sans" w:cs="Arial"/>
              </w:rPr>
              <w:t>Further assurance is provided through feedback from the Housing Ombudsman this year, which recommended improvements to our Complaints Policy. Work has been undertaken to update this, alongside a review of our compensation policy</w:t>
            </w:r>
            <w:r w:rsidR="000C5E50">
              <w:rPr>
                <w:rFonts w:ascii="Work Sans" w:hAnsi="Work Sans" w:cs="Arial"/>
              </w:rPr>
              <w:t xml:space="preserve"> which was supported by </w:t>
            </w:r>
            <w:proofErr w:type="spellStart"/>
            <w:r w:rsidR="000C5E50">
              <w:rPr>
                <w:rFonts w:ascii="Work Sans" w:hAnsi="Work Sans" w:cs="Arial"/>
              </w:rPr>
              <w:t>Tpas</w:t>
            </w:r>
            <w:proofErr w:type="spellEnd"/>
            <w:r w:rsidR="00DE3A06">
              <w:rPr>
                <w:rFonts w:ascii="Work Sans" w:hAnsi="Work Sans" w:cs="Arial"/>
              </w:rPr>
              <w:t xml:space="preserve"> as an extension of last years Complaints Audit. </w:t>
            </w:r>
          </w:p>
        </w:tc>
      </w:tr>
      <w:tr w:rsidR="00BB1CC2" w:rsidRPr="00542A5F" w14:paraId="13E12AC2" w14:textId="77777777" w:rsidTr="742B7822">
        <w:trPr>
          <w:trHeight w:val="289"/>
        </w:trPr>
        <w:tc>
          <w:tcPr>
            <w:tcW w:w="10207" w:type="dxa"/>
            <w:gridSpan w:val="7"/>
            <w:shd w:val="clear" w:color="auto" w:fill="D9D9D9" w:themeFill="background1" w:themeFillShade="D9"/>
          </w:tcPr>
          <w:p w14:paraId="13E12AC1" w14:textId="77777777" w:rsidR="00BB1CC2" w:rsidRPr="00542A5F" w:rsidRDefault="00184B1B" w:rsidP="0019179A">
            <w:pPr>
              <w:pStyle w:val="ListParagraph"/>
              <w:numPr>
                <w:ilvl w:val="0"/>
                <w:numId w:val="1"/>
              </w:numPr>
              <w:spacing w:before="60" w:after="120"/>
              <w:jc w:val="both"/>
              <w:rPr>
                <w:rFonts w:ascii="Work Sans" w:hAnsi="Work Sans" w:cs="Arial"/>
                <w:b/>
              </w:rPr>
            </w:pPr>
            <w:r w:rsidRPr="00542A5F">
              <w:rPr>
                <w:rFonts w:ascii="Work Sans" w:hAnsi="Work Sans" w:cs="Arial"/>
                <w:b/>
              </w:rPr>
              <w:t>HEALTH AND SAFETY</w:t>
            </w:r>
          </w:p>
        </w:tc>
      </w:tr>
      <w:tr w:rsidR="00BB1CC2" w:rsidRPr="00542A5F" w14:paraId="13E12AC4" w14:textId="77777777" w:rsidTr="742B7822">
        <w:trPr>
          <w:trHeight w:val="289"/>
        </w:trPr>
        <w:tc>
          <w:tcPr>
            <w:tcW w:w="10207" w:type="dxa"/>
            <w:gridSpan w:val="7"/>
          </w:tcPr>
          <w:p w14:paraId="13E12AC3" w14:textId="6ADA797E" w:rsidR="00206837" w:rsidRPr="00542A5F" w:rsidRDefault="008F10D4" w:rsidP="0019179A">
            <w:pPr>
              <w:pStyle w:val="ListParagraph"/>
              <w:numPr>
                <w:ilvl w:val="1"/>
                <w:numId w:val="1"/>
              </w:numPr>
              <w:spacing w:before="60" w:after="120"/>
              <w:ind w:left="794" w:hanging="794"/>
              <w:contextualSpacing w:val="0"/>
              <w:jc w:val="both"/>
              <w:rPr>
                <w:rFonts w:ascii="Work Sans" w:hAnsi="Work Sans" w:cs="Arial"/>
                <w:b/>
              </w:rPr>
            </w:pPr>
            <w:r w:rsidRPr="00542A5F">
              <w:rPr>
                <w:rFonts w:ascii="Work Sans" w:hAnsi="Work Sans" w:cs="Arial"/>
              </w:rPr>
              <w:t>There are no health and safety implications of this report.</w:t>
            </w:r>
          </w:p>
        </w:tc>
      </w:tr>
      <w:tr w:rsidR="00887F00" w:rsidRPr="00542A5F" w14:paraId="6E1C1245" w14:textId="77777777" w:rsidTr="742B7822">
        <w:trPr>
          <w:trHeight w:val="289"/>
        </w:trPr>
        <w:tc>
          <w:tcPr>
            <w:tcW w:w="10207" w:type="dxa"/>
            <w:gridSpan w:val="7"/>
            <w:shd w:val="clear" w:color="auto" w:fill="D9D9D9" w:themeFill="background1" w:themeFillShade="D9"/>
          </w:tcPr>
          <w:p w14:paraId="0B0230F0" w14:textId="5F265508" w:rsidR="00887F00" w:rsidRPr="00542A5F" w:rsidRDefault="00887F00" w:rsidP="0019179A">
            <w:pPr>
              <w:pStyle w:val="ListParagraph"/>
              <w:numPr>
                <w:ilvl w:val="0"/>
                <w:numId w:val="1"/>
              </w:numPr>
              <w:spacing w:before="60" w:after="120"/>
              <w:jc w:val="both"/>
              <w:rPr>
                <w:rFonts w:ascii="Work Sans" w:hAnsi="Work Sans" w:cs="Arial"/>
                <w:b/>
              </w:rPr>
            </w:pPr>
            <w:r w:rsidRPr="00542A5F">
              <w:rPr>
                <w:rFonts w:ascii="Work Sans" w:hAnsi="Work Sans" w:cs="Arial"/>
                <w:b/>
              </w:rPr>
              <w:t>CUSTOMER ENGAGEMENT</w:t>
            </w:r>
          </w:p>
        </w:tc>
      </w:tr>
      <w:tr w:rsidR="00887F00" w:rsidRPr="00542A5F" w14:paraId="724F39F3" w14:textId="77777777" w:rsidTr="742B7822">
        <w:trPr>
          <w:trHeight w:val="289"/>
        </w:trPr>
        <w:tc>
          <w:tcPr>
            <w:tcW w:w="10207" w:type="dxa"/>
            <w:gridSpan w:val="7"/>
          </w:tcPr>
          <w:p w14:paraId="3A59E694" w14:textId="66E23649" w:rsidR="00BE3F48" w:rsidRPr="00542A5F" w:rsidRDefault="00BE3F48" w:rsidP="0019179A">
            <w:pPr>
              <w:pStyle w:val="ListParagraph"/>
              <w:numPr>
                <w:ilvl w:val="1"/>
                <w:numId w:val="1"/>
              </w:numPr>
              <w:tabs>
                <w:tab w:val="left" w:pos="810"/>
              </w:tabs>
              <w:spacing w:before="60" w:after="120"/>
              <w:ind w:left="794" w:hanging="794"/>
              <w:contextualSpacing w:val="0"/>
              <w:jc w:val="both"/>
              <w:rPr>
                <w:rFonts w:ascii="Work Sans" w:hAnsi="Work Sans" w:cs="Arial"/>
              </w:rPr>
            </w:pPr>
            <w:r w:rsidRPr="00542A5F">
              <w:rPr>
                <w:rFonts w:ascii="Work Sans" w:hAnsi="Work Sans" w:cs="Arial"/>
              </w:rPr>
              <w:t xml:space="preserve">Complaint performance data including themes and trends is shared with the Member Responsible for Complaints </w:t>
            </w:r>
            <w:r w:rsidR="00AA2884" w:rsidRPr="00542A5F">
              <w:rPr>
                <w:rFonts w:ascii="Work Sans" w:hAnsi="Work Sans" w:cs="Arial"/>
              </w:rPr>
              <w:t>(</w:t>
            </w:r>
            <w:r w:rsidRPr="00542A5F">
              <w:rPr>
                <w:rFonts w:ascii="Work Sans" w:hAnsi="Work Sans" w:cs="Arial"/>
              </w:rPr>
              <w:t>MRC</w:t>
            </w:r>
            <w:r w:rsidR="00AA2884" w:rsidRPr="00542A5F">
              <w:rPr>
                <w:rFonts w:ascii="Work Sans" w:hAnsi="Work Sans" w:cs="Arial"/>
              </w:rPr>
              <w:t>)</w:t>
            </w:r>
            <w:r w:rsidRPr="00542A5F">
              <w:rPr>
                <w:rFonts w:ascii="Work Sans" w:hAnsi="Work Sans" w:cs="Arial"/>
              </w:rPr>
              <w:t xml:space="preserve">, who </w:t>
            </w:r>
            <w:r w:rsidR="002470C6" w:rsidRPr="00542A5F">
              <w:rPr>
                <w:rFonts w:ascii="Work Sans" w:hAnsi="Work Sans" w:cs="Arial"/>
              </w:rPr>
              <w:t xml:space="preserve">is </w:t>
            </w:r>
            <w:r w:rsidRPr="00542A5F">
              <w:rPr>
                <w:rFonts w:ascii="Work Sans" w:hAnsi="Work Sans" w:cs="Arial"/>
              </w:rPr>
              <w:t xml:space="preserve">also a tenant. </w:t>
            </w:r>
          </w:p>
          <w:p w14:paraId="25EF9335" w14:textId="07AFF059" w:rsidR="00BE3F48" w:rsidRPr="00542A5F" w:rsidRDefault="00BE3F48" w:rsidP="0019179A">
            <w:pPr>
              <w:pStyle w:val="ListParagraph"/>
              <w:numPr>
                <w:ilvl w:val="1"/>
                <w:numId w:val="1"/>
              </w:numPr>
              <w:tabs>
                <w:tab w:val="left" w:pos="810"/>
              </w:tabs>
              <w:spacing w:before="60" w:after="120"/>
              <w:ind w:left="794" w:hanging="794"/>
              <w:contextualSpacing w:val="0"/>
              <w:jc w:val="both"/>
              <w:rPr>
                <w:rFonts w:ascii="Work Sans" w:hAnsi="Work Sans" w:cs="Arial"/>
              </w:rPr>
            </w:pPr>
            <w:r w:rsidRPr="00542A5F">
              <w:rPr>
                <w:rFonts w:ascii="Work Sans" w:hAnsi="Work Sans" w:cs="Arial"/>
              </w:rPr>
              <w:t xml:space="preserve">The Customer </w:t>
            </w:r>
            <w:r w:rsidR="004321FA">
              <w:rPr>
                <w:rFonts w:ascii="Work Sans" w:hAnsi="Work Sans" w:cs="Arial"/>
              </w:rPr>
              <w:t>Complaints</w:t>
            </w:r>
            <w:r w:rsidRPr="00542A5F">
              <w:rPr>
                <w:rFonts w:ascii="Work Sans" w:hAnsi="Work Sans" w:cs="Arial"/>
              </w:rPr>
              <w:t xml:space="preserve"> Lead holds a monthly meeting with the MRC to review data and performance.  </w:t>
            </w:r>
          </w:p>
          <w:p w14:paraId="019CAAC0" w14:textId="1CBD4125" w:rsidR="00887F00" w:rsidRPr="004321FA" w:rsidRDefault="00BB1B43" w:rsidP="004321FA">
            <w:pPr>
              <w:pStyle w:val="ListParagraph"/>
              <w:numPr>
                <w:ilvl w:val="1"/>
                <w:numId w:val="1"/>
              </w:numPr>
              <w:tabs>
                <w:tab w:val="left" w:pos="810"/>
              </w:tabs>
              <w:spacing w:before="60" w:after="120"/>
              <w:ind w:left="794" w:hanging="794"/>
              <w:contextualSpacing w:val="0"/>
              <w:jc w:val="both"/>
              <w:rPr>
                <w:rFonts w:ascii="Work Sans" w:hAnsi="Work Sans" w:cs="Arial"/>
              </w:rPr>
            </w:pPr>
            <w:r w:rsidRPr="00542A5F">
              <w:rPr>
                <w:rFonts w:ascii="Work Sans" w:hAnsi="Work Sans" w:cs="Arial"/>
              </w:rPr>
              <w:t xml:space="preserve">We </w:t>
            </w:r>
            <w:r w:rsidR="00367D15">
              <w:rPr>
                <w:rFonts w:ascii="Work Sans" w:hAnsi="Work Sans" w:cs="Arial"/>
              </w:rPr>
              <w:t>have</w:t>
            </w:r>
            <w:r w:rsidRPr="00542A5F">
              <w:rPr>
                <w:rFonts w:ascii="Work Sans" w:hAnsi="Work Sans" w:cs="Arial"/>
              </w:rPr>
              <w:t xml:space="preserve"> increase</w:t>
            </w:r>
            <w:r w:rsidR="00367D15">
              <w:rPr>
                <w:rFonts w:ascii="Work Sans" w:hAnsi="Work Sans" w:cs="Arial"/>
              </w:rPr>
              <w:t>d</w:t>
            </w:r>
            <w:r w:rsidRPr="00542A5F">
              <w:rPr>
                <w:rFonts w:ascii="Work Sans" w:hAnsi="Work Sans" w:cs="Arial"/>
              </w:rPr>
              <w:t xml:space="preserve"> our focus of customer engagement in 2025/26</w:t>
            </w:r>
            <w:r w:rsidR="001906A9" w:rsidRPr="00542A5F">
              <w:rPr>
                <w:rFonts w:ascii="Work Sans" w:hAnsi="Work Sans" w:cs="Arial"/>
              </w:rPr>
              <w:t xml:space="preserve">, including regular reporting to our customer committee and </w:t>
            </w:r>
            <w:r w:rsidR="004321FA">
              <w:rPr>
                <w:rFonts w:ascii="Work Sans" w:hAnsi="Work Sans" w:cs="Arial"/>
              </w:rPr>
              <w:t xml:space="preserve">the continued provision of a customer friendly version of this report, which has been improved through direct customer engagement. </w:t>
            </w:r>
            <w:r w:rsidR="001906A9" w:rsidRPr="00542A5F">
              <w:rPr>
                <w:rFonts w:ascii="Work Sans" w:hAnsi="Work Sans" w:cs="Arial"/>
              </w:rPr>
              <w:t xml:space="preserve"> </w:t>
            </w:r>
          </w:p>
        </w:tc>
      </w:tr>
      <w:tr w:rsidR="00175371" w:rsidRPr="00542A5F" w14:paraId="40E589A1" w14:textId="77777777" w:rsidTr="742B7822">
        <w:trPr>
          <w:trHeight w:val="289"/>
        </w:trPr>
        <w:tc>
          <w:tcPr>
            <w:tcW w:w="10207" w:type="dxa"/>
            <w:gridSpan w:val="7"/>
            <w:shd w:val="clear" w:color="auto" w:fill="D9D9D9" w:themeFill="background1" w:themeFillShade="D9"/>
          </w:tcPr>
          <w:p w14:paraId="0FFB908F" w14:textId="5BD2659D" w:rsidR="00175371" w:rsidRPr="00542A5F" w:rsidRDefault="00175371" w:rsidP="0019179A">
            <w:pPr>
              <w:pStyle w:val="ListParagraph"/>
              <w:numPr>
                <w:ilvl w:val="0"/>
                <w:numId w:val="1"/>
              </w:numPr>
              <w:spacing w:before="60" w:after="120"/>
              <w:jc w:val="both"/>
              <w:rPr>
                <w:rFonts w:ascii="Work Sans" w:hAnsi="Work Sans" w:cs="Arial"/>
                <w:b/>
                <w:bCs/>
              </w:rPr>
            </w:pPr>
            <w:r w:rsidRPr="00542A5F">
              <w:rPr>
                <w:rFonts w:ascii="Work Sans" w:hAnsi="Work Sans" w:cs="Arial"/>
                <w:b/>
                <w:bCs/>
              </w:rPr>
              <w:t>IMPACT ON OUR CUSTOMERS</w:t>
            </w:r>
          </w:p>
        </w:tc>
      </w:tr>
      <w:tr w:rsidR="00175371" w:rsidRPr="00542A5F" w14:paraId="1D65CC3A" w14:textId="77777777" w:rsidTr="742B7822">
        <w:trPr>
          <w:trHeight w:val="289"/>
        </w:trPr>
        <w:tc>
          <w:tcPr>
            <w:tcW w:w="10207" w:type="dxa"/>
            <w:gridSpan w:val="7"/>
          </w:tcPr>
          <w:p w14:paraId="37765486" w14:textId="77777777" w:rsidR="007F7A84" w:rsidRPr="00B121FA" w:rsidRDefault="007F7A84" w:rsidP="0019179A">
            <w:pPr>
              <w:pStyle w:val="ListParagraph"/>
              <w:numPr>
                <w:ilvl w:val="1"/>
                <w:numId w:val="1"/>
              </w:numPr>
              <w:spacing w:before="60" w:after="120"/>
              <w:ind w:left="794" w:hanging="794"/>
              <w:contextualSpacing w:val="0"/>
              <w:jc w:val="both"/>
              <w:rPr>
                <w:rFonts w:ascii="Work Sans" w:hAnsi="Work Sans" w:cs="Arial"/>
                <w:b/>
              </w:rPr>
            </w:pPr>
            <w:r w:rsidRPr="00B121FA">
              <w:rPr>
                <w:rFonts w:ascii="Work Sans" w:hAnsi="Work Sans" w:cs="Arial"/>
              </w:rPr>
              <w:t>Maintaining high levels of complaint handling performance:</w:t>
            </w:r>
          </w:p>
          <w:p w14:paraId="51956674" w14:textId="77777777" w:rsidR="007F7A84" w:rsidRPr="00B121FA" w:rsidRDefault="007F7A84" w:rsidP="00B94B6D">
            <w:pPr>
              <w:pStyle w:val="ListParagraph"/>
              <w:numPr>
                <w:ilvl w:val="0"/>
                <w:numId w:val="14"/>
              </w:numPr>
              <w:ind w:left="1151" w:hanging="357"/>
              <w:contextualSpacing w:val="0"/>
              <w:jc w:val="both"/>
              <w:rPr>
                <w:rFonts w:ascii="Work Sans" w:hAnsi="Work Sans" w:cs="Arial"/>
                <w:b/>
              </w:rPr>
            </w:pPr>
            <w:r w:rsidRPr="00B121FA">
              <w:rPr>
                <w:rFonts w:ascii="Work Sans" w:hAnsi="Work Sans" w:cs="Arial"/>
              </w:rPr>
              <w:t>provides customers with reassurance that when something goes wrong our complaints policy and process is robust and followed,</w:t>
            </w:r>
          </w:p>
          <w:p w14:paraId="6B885ECF" w14:textId="77777777" w:rsidR="007F7A84" w:rsidRPr="00B121FA" w:rsidRDefault="007F7A84" w:rsidP="00B94B6D">
            <w:pPr>
              <w:pStyle w:val="ListParagraph"/>
              <w:numPr>
                <w:ilvl w:val="0"/>
                <w:numId w:val="14"/>
              </w:numPr>
              <w:ind w:left="1151" w:hanging="357"/>
              <w:contextualSpacing w:val="0"/>
              <w:jc w:val="both"/>
              <w:rPr>
                <w:rFonts w:ascii="Work Sans" w:hAnsi="Work Sans" w:cs="Arial"/>
                <w:b/>
              </w:rPr>
            </w:pPr>
            <w:r w:rsidRPr="00B121FA">
              <w:rPr>
                <w:rFonts w:ascii="Work Sans" w:hAnsi="Work Sans" w:cs="Arial"/>
              </w:rPr>
              <w:t xml:space="preserve">demonstrates our complaints process is accessible and fair for customers, </w:t>
            </w:r>
          </w:p>
          <w:p w14:paraId="69AA0FE7" w14:textId="77777777" w:rsidR="007F7A84" w:rsidRPr="00B121FA" w:rsidRDefault="007F7A84" w:rsidP="00B94B6D">
            <w:pPr>
              <w:pStyle w:val="ListParagraph"/>
              <w:numPr>
                <w:ilvl w:val="0"/>
                <w:numId w:val="14"/>
              </w:numPr>
              <w:ind w:left="1151" w:hanging="357"/>
              <w:contextualSpacing w:val="0"/>
              <w:jc w:val="both"/>
              <w:rPr>
                <w:rFonts w:ascii="Work Sans" w:hAnsi="Work Sans" w:cs="Arial"/>
              </w:rPr>
            </w:pPr>
            <w:r w:rsidRPr="00B121FA">
              <w:rPr>
                <w:rFonts w:ascii="Work Sans" w:hAnsi="Work Sans" w:cs="Arial"/>
              </w:rPr>
              <w:t>gives customers confidence the SYHA are listening and keen to rebuild and strengthen relationships,</w:t>
            </w:r>
          </w:p>
          <w:p w14:paraId="12E2AF25" w14:textId="29A2C3FF" w:rsidR="00175371" w:rsidRPr="00B121FA" w:rsidRDefault="007F7A84" w:rsidP="00730023">
            <w:pPr>
              <w:pStyle w:val="ListParagraph"/>
              <w:numPr>
                <w:ilvl w:val="0"/>
                <w:numId w:val="14"/>
              </w:numPr>
              <w:spacing w:after="240"/>
              <w:ind w:left="1151" w:hanging="357"/>
              <w:contextualSpacing w:val="0"/>
              <w:rPr>
                <w:rFonts w:ascii="Work Sans" w:hAnsi="Work Sans" w:cs="Arial"/>
              </w:rPr>
            </w:pPr>
            <w:r w:rsidRPr="00B121FA">
              <w:rPr>
                <w:rFonts w:ascii="Work Sans" w:hAnsi="Work Sans" w:cs="Arial"/>
              </w:rPr>
              <w:t>drives learning from complaints, improving services for our customers</w:t>
            </w:r>
            <w:r w:rsidR="0082270F" w:rsidRPr="00B121FA">
              <w:rPr>
                <w:rFonts w:ascii="Work Sans" w:hAnsi="Work Sans" w:cs="Arial"/>
              </w:rPr>
              <w:t>.</w:t>
            </w:r>
          </w:p>
        </w:tc>
      </w:tr>
      <w:tr w:rsidR="00003D5F" w:rsidRPr="00542A5F" w14:paraId="4E35A905" w14:textId="77777777" w:rsidTr="742B7822">
        <w:trPr>
          <w:trHeight w:val="289"/>
        </w:trPr>
        <w:tc>
          <w:tcPr>
            <w:tcW w:w="10207" w:type="dxa"/>
            <w:gridSpan w:val="7"/>
            <w:shd w:val="clear" w:color="auto" w:fill="D9D9D9" w:themeFill="background1" w:themeFillShade="D9"/>
          </w:tcPr>
          <w:p w14:paraId="30B5EC44" w14:textId="48D43F6F" w:rsidR="00003D5F" w:rsidRPr="00B121FA" w:rsidRDefault="00003D5F" w:rsidP="0019179A">
            <w:pPr>
              <w:pStyle w:val="ListParagraph"/>
              <w:numPr>
                <w:ilvl w:val="0"/>
                <w:numId w:val="1"/>
              </w:numPr>
              <w:spacing w:before="60" w:after="120"/>
              <w:jc w:val="both"/>
              <w:rPr>
                <w:rFonts w:ascii="Work Sans" w:hAnsi="Work Sans" w:cs="Arial"/>
                <w:b/>
              </w:rPr>
            </w:pPr>
            <w:r w:rsidRPr="00B121FA">
              <w:rPr>
                <w:rFonts w:ascii="Work Sans" w:hAnsi="Work Sans" w:cs="Arial"/>
                <w:b/>
              </w:rPr>
              <w:t>IMPACT ON OUR PEOPLE</w:t>
            </w:r>
          </w:p>
        </w:tc>
      </w:tr>
      <w:tr w:rsidR="00003D5F" w:rsidRPr="00542A5F" w14:paraId="7574447F" w14:textId="77777777" w:rsidTr="742B7822">
        <w:trPr>
          <w:trHeight w:val="289"/>
        </w:trPr>
        <w:tc>
          <w:tcPr>
            <w:tcW w:w="10207" w:type="dxa"/>
            <w:gridSpan w:val="7"/>
          </w:tcPr>
          <w:p w14:paraId="67B3F6B3" w14:textId="3540BA5F" w:rsidR="00AF0BEC" w:rsidRPr="00B121FA" w:rsidRDefault="003F1A61" w:rsidP="0019179A">
            <w:pPr>
              <w:pStyle w:val="ListParagraph"/>
              <w:numPr>
                <w:ilvl w:val="1"/>
                <w:numId w:val="1"/>
              </w:numPr>
              <w:spacing w:before="60" w:after="120"/>
              <w:ind w:left="794" w:hanging="794"/>
              <w:contextualSpacing w:val="0"/>
              <w:jc w:val="both"/>
              <w:rPr>
                <w:rFonts w:ascii="Work Sans" w:hAnsi="Work Sans" w:cs="Arial"/>
                <w:b/>
              </w:rPr>
            </w:pPr>
            <w:r w:rsidRPr="00B121FA">
              <w:rPr>
                <w:rFonts w:ascii="Work Sans" w:hAnsi="Work Sans" w:cs="Arial"/>
              </w:rPr>
              <w:t>This report supports and reinforces the positive complaints culture within SYHA, as recognised in the previous TPAS audit.</w:t>
            </w:r>
          </w:p>
          <w:p w14:paraId="69985D7B" w14:textId="0F3A93D3" w:rsidR="006E4AAF" w:rsidRPr="00B121FA" w:rsidRDefault="004422D2" w:rsidP="00FF1367">
            <w:pPr>
              <w:pStyle w:val="ListParagraph"/>
              <w:numPr>
                <w:ilvl w:val="1"/>
                <w:numId w:val="1"/>
              </w:numPr>
              <w:spacing w:before="60" w:after="120"/>
              <w:ind w:left="794" w:hanging="794"/>
              <w:contextualSpacing w:val="0"/>
              <w:jc w:val="both"/>
              <w:rPr>
                <w:rFonts w:ascii="Work Sans" w:hAnsi="Work Sans" w:cs="Arial"/>
                <w:b/>
              </w:rPr>
            </w:pPr>
            <w:r w:rsidRPr="00B121FA">
              <w:rPr>
                <w:rFonts w:ascii="Work Sans" w:hAnsi="Work Sans" w:cs="Arial"/>
              </w:rPr>
              <w:t>Our ongoing commitment to analysing and reviewing complaints data helps us identify areas for improvement, supporting continuous improvement and ensuring compliance with the Housing Ombudsman Complaint Handling Code.</w:t>
            </w:r>
          </w:p>
          <w:p w14:paraId="11F81618" w14:textId="39E14122" w:rsidR="00FF1367" w:rsidRPr="00B121FA" w:rsidRDefault="004422D2" w:rsidP="00FF1367">
            <w:pPr>
              <w:pStyle w:val="ListParagraph"/>
              <w:numPr>
                <w:ilvl w:val="1"/>
                <w:numId w:val="1"/>
              </w:numPr>
              <w:spacing w:before="60" w:after="120"/>
              <w:ind w:left="794" w:hanging="794"/>
              <w:contextualSpacing w:val="0"/>
              <w:jc w:val="both"/>
              <w:rPr>
                <w:rFonts w:ascii="Work Sans" w:hAnsi="Work Sans" w:cs="Arial"/>
                <w:b/>
              </w:rPr>
            </w:pPr>
            <w:r w:rsidRPr="00B121FA">
              <w:rPr>
                <w:rFonts w:ascii="Work Sans" w:hAnsi="Work Sans" w:cs="Arial"/>
              </w:rPr>
              <w:t>We continue to support staff by sharing learning and information about complaints through SharePoint</w:t>
            </w:r>
            <w:r w:rsidR="00B121FA">
              <w:rPr>
                <w:rFonts w:ascii="Work Sans" w:hAnsi="Work Sans" w:cs="Arial"/>
              </w:rPr>
              <w:t xml:space="preserve"> and wider communications</w:t>
            </w:r>
            <w:r w:rsidRPr="00B121FA">
              <w:rPr>
                <w:rFonts w:ascii="Work Sans" w:hAnsi="Work Sans" w:cs="Arial"/>
              </w:rPr>
              <w:t xml:space="preserve">. This includes guidance resources, regular internal newsletters, </w:t>
            </w:r>
            <w:r w:rsidR="00B121FA">
              <w:rPr>
                <w:rFonts w:ascii="Work Sans" w:hAnsi="Work Sans" w:cs="Arial"/>
              </w:rPr>
              <w:t>regular meetings</w:t>
            </w:r>
            <w:r w:rsidRPr="00B121FA">
              <w:rPr>
                <w:rFonts w:ascii="Work Sans" w:hAnsi="Work Sans" w:cs="Arial"/>
              </w:rPr>
              <w:t>, and practical support for colleagues handling complaints, including advice and templates.</w:t>
            </w:r>
          </w:p>
        </w:tc>
      </w:tr>
      <w:tr w:rsidR="00BB1CC2" w:rsidRPr="00542A5F" w14:paraId="13E12AC6" w14:textId="77777777" w:rsidTr="742B7822">
        <w:trPr>
          <w:trHeight w:val="289"/>
        </w:trPr>
        <w:tc>
          <w:tcPr>
            <w:tcW w:w="10207" w:type="dxa"/>
            <w:gridSpan w:val="7"/>
            <w:shd w:val="clear" w:color="auto" w:fill="D9D9D9" w:themeFill="background1" w:themeFillShade="D9"/>
          </w:tcPr>
          <w:p w14:paraId="13E12AC5" w14:textId="77777777" w:rsidR="00BB1CC2" w:rsidRPr="00542A5F" w:rsidRDefault="00184B1B" w:rsidP="0019179A">
            <w:pPr>
              <w:pStyle w:val="ListParagraph"/>
              <w:numPr>
                <w:ilvl w:val="0"/>
                <w:numId w:val="1"/>
              </w:numPr>
              <w:spacing w:before="60" w:after="120"/>
              <w:jc w:val="both"/>
              <w:rPr>
                <w:rFonts w:ascii="Work Sans" w:hAnsi="Work Sans" w:cs="Arial"/>
                <w:b/>
              </w:rPr>
            </w:pPr>
            <w:r w:rsidRPr="00542A5F">
              <w:rPr>
                <w:rFonts w:ascii="Work Sans" w:hAnsi="Work Sans" w:cs="Arial"/>
                <w:b/>
              </w:rPr>
              <w:t>EQUALITY AND DIVERSITY</w:t>
            </w:r>
          </w:p>
        </w:tc>
      </w:tr>
      <w:tr w:rsidR="00BB1CC2" w:rsidRPr="00542A5F" w14:paraId="13E12AC8" w14:textId="77777777" w:rsidTr="742B7822">
        <w:trPr>
          <w:trHeight w:val="289"/>
        </w:trPr>
        <w:tc>
          <w:tcPr>
            <w:tcW w:w="10207" w:type="dxa"/>
            <w:gridSpan w:val="7"/>
          </w:tcPr>
          <w:p w14:paraId="18955AA9" w14:textId="72AFE8F7" w:rsidR="00BE48F4" w:rsidRPr="00542A5F" w:rsidRDefault="00B86410" w:rsidP="0019179A">
            <w:pPr>
              <w:pStyle w:val="ListParagraph"/>
              <w:numPr>
                <w:ilvl w:val="1"/>
                <w:numId w:val="1"/>
              </w:numPr>
              <w:spacing w:before="60" w:after="120"/>
              <w:ind w:left="794" w:hanging="794"/>
              <w:contextualSpacing w:val="0"/>
              <w:jc w:val="both"/>
              <w:rPr>
                <w:rFonts w:ascii="Work Sans" w:hAnsi="Work Sans" w:cs="Arial"/>
              </w:rPr>
            </w:pPr>
            <w:r w:rsidRPr="00542A5F">
              <w:rPr>
                <w:rFonts w:ascii="Work Sans" w:hAnsi="Work Sans" w:cs="Arial"/>
              </w:rPr>
              <w:t>Information about complaints and diversity is referenced in section 5.</w:t>
            </w:r>
            <w:r w:rsidR="004321FA">
              <w:rPr>
                <w:rFonts w:ascii="Work Sans" w:hAnsi="Work Sans" w:cs="Arial"/>
              </w:rPr>
              <w:t>8</w:t>
            </w:r>
            <w:r w:rsidR="00E25E68">
              <w:rPr>
                <w:rFonts w:ascii="Work Sans" w:hAnsi="Work Sans" w:cs="Arial"/>
              </w:rPr>
              <w:t>7</w:t>
            </w:r>
            <w:r w:rsidRPr="00542A5F">
              <w:rPr>
                <w:rFonts w:ascii="Work Sans" w:hAnsi="Work Sans" w:cs="Arial"/>
              </w:rPr>
              <w:t>.  Further work will be carried out to improve customer data and how this is recorded</w:t>
            </w:r>
            <w:r w:rsidR="00B236CC" w:rsidRPr="00542A5F">
              <w:rPr>
                <w:rFonts w:ascii="Work Sans" w:hAnsi="Work Sans" w:cs="Arial"/>
              </w:rPr>
              <w:t xml:space="preserve"> through our data collection campaign.</w:t>
            </w:r>
          </w:p>
          <w:p w14:paraId="27A7EA1A" w14:textId="520157E2" w:rsidR="007B5822" w:rsidRPr="00542A5F" w:rsidRDefault="00B86410" w:rsidP="0019179A">
            <w:pPr>
              <w:pStyle w:val="ListParagraph"/>
              <w:numPr>
                <w:ilvl w:val="1"/>
                <w:numId w:val="1"/>
              </w:numPr>
              <w:spacing w:before="60" w:after="120"/>
              <w:ind w:left="794" w:hanging="794"/>
              <w:contextualSpacing w:val="0"/>
              <w:jc w:val="both"/>
              <w:rPr>
                <w:rFonts w:ascii="Work Sans" w:hAnsi="Work Sans" w:cs="Arial"/>
              </w:rPr>
            </w:pPr>
            <w:r w:rsidRPr="00542A5F">
              <w:rPr>
                <w:rFonts w:ascii="Work Sans" w:hAnsi="Work Sans" w:cs="Arial"/>
              </w:rPr>
              <w:t xml:space="preserve">Quarterly data regarding complaints and customer diversity is shared with the Diversity and Belonging Steering Group. </w:t>
            </w:r>
          </w:p>
          <w:p w14:paraId="13E12AC7" w14:textId="75C41E16" w:rsidR="00206837" w:rsidRPr="00542A5F" w:rsidRDefault="00B236CC" w:rsidP="0019179A">
            <w:pPr>
              <w:pStyle w:val="ListParagraph"/>
              <w:numPr>
                <w:ilvl w:val="1"/>
                <w:numId w:val="1"/>
              </w:numPr>
              <w:spacing w:before="60" w:after="120"/>
              <w:ind w:left="794" w:hanging="794"/>
              <w:contextualSpacing w:val="0"/>
              <w:jc w:val="both"/>
              <w:rPr>
                <w:rFonts w:ascii="Work Sans" w:hAnsi="Work Sans" w:cs="Arial"/>
              </w:rPr>
            </w:pPr>
            <w:r w:rsidRPr="00542A5F">
              <w:rPr>
                <w:rFonts w:ascii="Work Sans" w:hAnsi="Work Sans" w:cs="Arial"/>
              </w:rPr>
              <w:t xml:space="preserve">Our new </w:t>
            </w:r>
            <w:r w:rsidR="009B54F0" w:rsidRPr="00542A5F">
              <w:rPr>
                <w:rFonts w:ascii="Work Sans" w:hAnsi="Work Sans" w:cs="Arial"/>
              </w:rPr>
              <w:t xml:space="preserve">Vulnerability Policy </w:t>
            </w:r>
            <w:r w:rsidR="00E76722">
              <w:rPr>
                <w:rFonts w:ascii="Work Sans" w:hAnsi="Work Sans" w:cs="Arial"/>
              </w:rPr>
              <w:t>has been</w:t>
            </w:r>
            <w:r w:rsidR="009B54F0" w:rsidRPr="00542A5F">
              <w:rPr>
                <w:rFonts w:ascii="Work Sans" w:hAnsi="Work Sans" w:cs="Arial"/>
              </w:rPr>
              <w:t xml:space="preserve"> launched and support</w:t>
            </w:r>
            <w:r w:rsidR="00E76722">
              <w:rPr>
                <w:rFonts w:ascii="Work Sans" w:hAnsi="Work Sans" w:cs="Arial"/>
              </w:rPr>
              <w:t>s</w:t>
            </w:r>
            <w:r w:rsidR="009B54F0" w:rsidRPr="00542A5F">
              <w:rPr>
                <w:rFonts w:ascii="Work Sans" w:hAnsi="Work Sans" w:cs="Arial"/>
              </w:rPr>
              <w:t xml:space="preserve"> all customer experience by allowing us to gather </w:t>
            </w:r>
            <w:r w:rsidR="00390E9F" w:rsidRPr="00542A5F">
              <w:rPr>
                <w:rFonts w:ascii="Work Sans" w:hAnsi="Work Sans" w:cs="Arial"/>
              </w:rPr>
              <w:t xml:space="preserve">useful information about customer </w:t>
            </w:r>
            <w:r w:rsidR="007B5822" w:rsidRPr="00542A5F">
              <w:rPr>
                <w:rFonts w:ascii="Work Sans" w:hAnsi="Work Sans" w:cs="Arial"/>
              </w:rPr>
              <w:t>needs and</w:t>
            </w:r>
            <w:r w:rsidR="00390E9F" w:rsidRPr="00542A5F">
              <w:rPr>
                <w:rFonts w:ascii="Work Sans" w:hAnsi="Work Sans" w:cs="Arial"/>
              </w:rPr>
              <w:t xml:space="preserve"> offer reasonable adjustments and tailored services as required. This support</w:t>
            </w:r>
            <w:r w:rsidR="00A73488">
              <w:rPr>
                <w:rFonts w:ascii="Work Sans" w:hAnsi="Work Sans" w:cs="Arial"/>
              </w:rPr>
              <w:t>s</w:t>
            </w:r>
            <w:r w:rsidR="00390E9F" w:rsidRPr="00542A5F">
              <w:rPr>
                <w:rFonts w:ascii="Work Sans" w:hAnsi="Work Sans" w:cs="Arial"/>
              </w:rPr>
              <w:t xml:space="preserve"> a positive complaints culture and process. </w:t>
            </w:r>
          </w:p>
        </w:tc>
      </w:tr>
      <w:tr w:rsidR="009630AA" w:rsidRPr="00542A5F" w14:paraId="13E12ACA" w14:textId="77777777" w:rsidTr="742B7822">
        <w:trPr>
          <w:trHeight w:val="289"/>
        </w:trPr>
        <w:tc>
          <w:tcPr>
            <w:tcW w:w="10207" w:type="dxa"/>
            <w:gridSpan w:val="7"/>
            <w:shd w:val="clear" w:color="auto" w:fill="D9D9D9" w:themeFill="background1" w:themeFillShade="D9"/>
          </w:tcPr>
          <w:p w14:paraId="13E12AC9" w14:textId="0BCADA3E" w:rsidR="009630AA" w:rsidRPr="00542A5F" w:rsidRDefault="009630AA" w:rsidP="0019179A">
            <w:pPr>
              <w:pStyle w:val="ListParagraph"/>
              <w:numPr>
                <w:ilvl w:val="0"/>
                <w:numId w:val="1"/>
              </w:numPr>
              <w:spacing w:before="60" w:after="120"/>
              <w:jc w:val="both"/>
              <w:rPr>
                <w:rFonts w:ascii="Work Sans" w:hAnsi="Work Sans" w:cs="Arial"/>
                <w:b/>
              </w:rPr>
            </w:pPr>
            <w:r w:rsidRPr="00542A5F">
              <w:rPr>
                <w:rFonts w:ascii="Work Sans" w:hAnsi="Work Sans" w:cs="Arial"/>
                <w:b/>
              </w:rPr>
              <w:t xml:space="preserve">ENVIRONMENTAL </w:t>
            </w:r>
            <w:r w:rsidR="00206837" w:rsidRPr="00542A5F">
              <w:rPr>
                <w:rFonts w:ascii="Work Sans" w:hAnsi="Work Sans" w:cs="Arial"/>
                <w:b/>
              </w:rPr>
              <w:t xml:space="preserve">/ SUSTAINABILITY </w:t>
            </w:r>
            <w:r w:rsidRPr="00542A5F">
              <w:rPr>
                <w:rFonts w:ascii="Work Sans" w:hAnsi="Work Sans" w:cs="Arial"/>
                <w:b/>
              </w:rPr>
              <w:t>IMPACT</w:t>
            </w:r>
          </w:p>
        </w:tc>
      </w:tr>
      <w:tr w:rsidR="009630AA" w:rsidRPr="00542A5F" w14:paraId="13E12ACD" w14:textId="77777777" w:rsidTr="742B7822">
        <w:trPr>
          <w:trHeight w:val="289"/>
        </w:trPr>
        <w:tc>
          <w:tcPr>
            <w:tcW w:w="2658" w:type="dxa"/>
            <w:gridSpan w:val="2"/>
          </w:tcPr>
          <w:p w14:paraId="13E12ACB" w14:textId="77777777" w:rsidR="009630AA" w:rsidRPr="00542A5F" w:rsidRDefault="009630AA" w:rsidP="008410A0">
            <w:pPr>
              <w:spacing w:before="60" w:after="120"/>
              <w:jc w:val="both"/>
              <w:rPr>
                <w:rFonts w:ascii="Work Sans" w:hAnsi="Work Sans" w:cs="Arial"/>
                <w:b/>
              </w:rPr>
            </w:pPr>
            <w:r w:rsidRPr="00542A5F">
              <w:rPr>
                <w:rFonts w:ascii="Work Sans" w:hAnsi="Work Sans" w:cs="Arial"/>
                <w:b/>
              </w:rPr>
              <w:t>Impact Level</w:t>
            </w:r>
          </w:p>
        </w:tc>
        <w:tc>
          <w:tcPr>
            <w:tcW w:w="7549" w:type="dxa"/>
            <w:gridSpan w:val="5"/>
          </w:tcPr>
          <w:p w14:paraId="13E12ACC" w14:textId="3819B7A1" w:rsidR="009630AA" w:rsidRPr="00542A5F" w:rsidRDefault="00F03A16" w:rsidP="008410A0">
            <w:pPr>
              <w:spacing w:before="60" w:after="120"/>
              <w:jc w:val="both"/>
              <w:rPr>
                <w:rFonts w:ascii="Work Sans" w:hAnsi="Work Sans" w:cs="Arial"/>
                <w:b/>
              </w:rPr>
            </w:pPr>
            <w:r w:rsidRPr="00542A5F">
              <w:rPr>
                <w:rFonts w:ascii="Work Sans" w:hAnsi="Work Sans" w:cs="Arial"/>
              </w:rPr>
              <w:t>Neutral</w:t>
            </w:r>
          </w:p>
        </w:tc>
      </w:tr>
      <w:tr w:rsidR="009630AA" w:rsidRPr="00542A5F" w14:paraId="13E12ACF" w14:textId="77777777" w:rsidTr="742B7822">
        <w:trPr>
          <w:trHeight w:val="289"/>
        </w:trPr>
        <w:tc>
          <w:tcPr>
            <w:tcW w:w="10207" w:type="dxa"/>
            <w:gridSpan w:val="7"/>
          </w:tcPr>
          <w:p w14:paraId="13E12ACE" w14:textId="743CDE25" w:rsidR="00206837" w:rsidRPr="00542A5F" w:rsidRDefault="00091A90" w:rsidP="0019179A">
            <w:pPr>
              <w:pStyle w:val="ListParagraph"/>
              <w:numPr>
                <w:ilvl w:val="1"/>
                <w:numId w:val="1"/>
              </w:numPr>
              <w:spacing w:before="60" w:after="120"/>
              <w:ind w:left="794" w:hanging="794"/>
              <w:contextualSpacing w:val="0"/>
              <w:jc w:val="both"/>
              <w:rPr>
                <w:rFonts w:ascii="Work Sans" w:hAnsi="Work Sans" w:cs="Arial"/>
                <w:b/>
              </w:rPr>
            </w:pPr>
            <w:r w:rsidRPr="00542A5F">
              <w:rPr>
                <w:rFonts w:ascii="Work Sans" w:hAnsi="Work Sans" w:cs="Arial"/>
              </w:rPr>
              <w:t>There are no environmental or sustainability impacts related to this report.</w:t>
            </w:r>
          </w:p>
        </w:tc>
      </w:tr>
      <w:tr w:rsidR="00305766" w:rsidRPr="00542A5F" w14:paraId="13E12AD5" w14:textId="77777777" w:rsidTr="742B7822">
        <w:trPr>
          <w:trHeight w:val="289"/>
        </w:trPr>
        <w:tc>
          <w:tcPr>
            <w:tcW w:w="10207" w:type="dxa"/>
            <w:gridSpan w:val="7"/>
            <w:shd w:val="clear" w:color="auto" w:fill="D9D9D9" w:themeFill="background1" w:themeFillShade="D9"/>
          </w:tcPr>
          <w:p w14:paraId="13E12AD4" w14:textId="77777777" w:rsidR="00305766" w:rsidRPr="00542A5F" w:rsidRDefault="00184B1B" w:rsidP="0019179A">
            <w:pPr>
              <w:pStyle w:val="ListParagraph"/>
              <w:numPr>
                <w:ilvl w:val="0"/>
                <w:numId w:val="1"/>
              </w:numPr>
              <w:spacing w:before="60" w:after="120"/>
              <w:jc w:val="both"/>
              <w:rPr>
                <w:rFonts w:ascii="Work Sans" w:hAnsi="Work Sans" w:cs="Arial"/>
                <w:b/>
              </w:rPr>
            </w:pPr>
            <w:r w:rsidRPr="00542A5F">
              <w:rPr>
                <w:rFonts w:ascii="Work Sans" w:hAnsi="Work Sans" w:cs="Arial"/>
                <w:b/>
              </w:rPr>
              <w:t>NEXT STEPS / ACTION REQUIRED</w:t>
            </w:r>
          </w:p>
        </w:tc>
      </w:tr>
      <w:tr w:rsidR="00305766" w:rsidRPr="00542A5F" w14:paraId="13E12AD8" w14:textId="77777777" w:rsidTr="742B7822">
        <w:trPr>
          <w:trHeight w:val="289"/>
        </w:trPr>
        <w:tc>
          <w:tcPr>
            <w:tcW w:w="10207" w:type="dxa"/>
            <w:gridSpan w:val="7"/>
          </w:tcPr>
          <w:p w14:paraId="6FB4AEC0" w14:textId="77777777" w:rsidR="00A318E1" w:rsidRPr="00A318E1" w:rsidRDefault="00B2544A" w:rsidP="002304AE">
            <w:pPr>
              <w:pStyle w:val="ListParagraph"/>
              <w:numPr>
                <w:ilvl w:val="1"/>
                <w:numId w:val="1"/>
              </w:numPr>
              <w:spacing w:before="60" w:after="120"/>
              <w:ind w:left="794" w:hanging="794"/>
              <w:jc w:val="both"/>
              <w:rPr>
                <w:rFonts w:ascii="Work Sans" w:hAnsi="Work Sans"/>
              </w:rPr>
            </w:pPr>
            <w:r w:rsidRPr="00B2544A">
              <w:rPr>
                <w:rFonts w:ascii="Work Sans" w:hAnsi="Work Sans"/>
              </w:rPr>
              <w:t>Following approval of this report, the full set of compliance documents will be published on our website, and the annual submission will be made to the Housing Ombudsman ahead of the September deadline.</w:t>
            </w:r>
            <w:r w:rsidR="00A318E1">
              <w:t xml:space="preserve"> </w:t>
            </w:r>
          </w:p>
          <w:p w14:paraId="749E256C" w14:textId="77777777" w:rsidR="00A318E1" w:rsidRPr="00A318E1" w:rsidRDefault="00A318E1" w:rsidP="002304AE">
            <w:pPr>
              <w:pStyle w:val="ListParagraph"/>
              <w:numPr>
                <w:ilvl w:val="1"/>
                <w:numId w:val="1"/>
              </w:numPr>
              <w:spacing w:before="60" w:after="120"/>
              <w:ind w:left="794" w:hanging="794"/>
              <w:jc w:val="both"/>
              <w:rPr>
                <w:rFonts w:ascii="Work Sans" w:hAnsi="Work Sans"/>
              </w:rPr>
            </w:pPr>
            <w:r w:rsidRPr="00A318E1">
              <w:rPr>
                <w:rFonts w:ascii="Work Sans" w:hAnsi="Work Sans"/>
              </w:rPr>
              <w:t>This will include the Board’s response to this report and the supporting documents.</w:t>
            </w:r>
            <w:r>
              <w:t xml:space="preserve"> </w:t>
            </w:r>
          </w:p>
          <w:p w14:paraId="1C6CE550" w14:textId="77777777" w:rsidR="00A318E1" w:rsidRPr="00A318E1" w:rsidRDefault="00A318E1" w:rsidP="002304AE">
            <w:pPr>
              <w:pStyle w:val="ListParagraph"/>
              <w:numPr>
                <w:ilvl w:val="1"/>
                <w:numId w:val="1"/>
              </w:numPr>
              <w:spacing w:before="60" w:after="120"/>
              <w:ind w:left="794" w:hanging="794"/>
              <w:jc w:val="both"/>
              <w:rPr>
                <w:rFonts w:ascii="Work Sans" w:hAnsi="Work Sans"/>
              </w:rPr>
            </w:pPr>
            <w:r w:rsidRPr="00A318E1">
              <w:rPr>
                <w:rFonts w:ascii="Work Sans" w:hAnsi="Work Sans"/>
              </w:rPr>
              <w:t xml:space="preserve">The customer‑friendly version of the report will be reviewed by Marketing and, </w:t>
            </w:r>
            <w:proofErr w:type="gramStart"/>
            <w:r w:rsidRPr="00A318E1">
              <w:rPr>
                <w:rFonts w:ascii="Work Sans" w:hAnsi="Work Sans"/>
              </w:rPr>
              <w:t>taking into account</w:t>
            </w:r>
            <w:proofErr w:type="gramEnd"/>
            <w:r w:rsidRPr="00A318E1">
              <w:rPr>
                <w:rFonts w:ascii="Work Sans" w:hAnsi="Work Sans"/>
              </w:rPr>
              <w:t xml:space="preserve"> customer feedback, will be published in the most accessible format possible.</w:t>
            </w:r>
            <w:r>
              <w:t xml:space="preserve"> </w:t>
            </w:r>
          </w:p>
          <w:p w14:paraId="13E12AD7" w14:textId="409C4866" w:rsidR="00FD7F07" w:rsidRPr="00A318E1" w:rsidRDefault="00A318E1" w:rsidP="00A318E1">
            <w:pPr>
              <w:pStyle w:val="ListParagraph"/>
              <w:numPr>
                <w:ilvl w:val="1"/>
                <w:numId w:val="1"/>
              </w:numPr>
              <w:spacing w:before="60" w:after="120"/>
              <w:ind w:left="794" w:hanging="794"/>
              <w:jc w:val="both"/>
              <w:rPr>
                <w:rFonts w:ascii="Work Sans" w:hAnsi="Work Sans"/>
              </w:rPr>
            </w:pPr>
            <w:r w:rsidRPr="00A318E1">
              <w:rPr>
                <w:rFonts w:ascii="Work Sans" w:hAnsi="Work Sans"/>
              </w:rPr>
              <w:t>We will continue to monitor performance and feedback, using this to inform ongoing improvements to our complaints handling approach.</w:t>
            </w:r>
          </w:p>
        </w:tc>
      </w:tr>
      <w:tr w:rsidR="00994412" w:rsidRPr="00542A5F" w14:paraId="13E12ADA" w14:textId="77777777" w:rsidTr="742B7822">
        <w:trPr>
          <w:trHeight w:val="289"/>
        </w:trPr>
        <w:tc>
          <w:tcPr>
            <w:tcW w:w="10207" w:type="dxa"/>
            <w:gridSpan w:val="7"/>
            <w:shd w:val="clear" w:color="auto" w:fill="D9D9D9" w:themeFill="background1" w:themeFillShade="D9"/>
          </w:tcPr>
          <w:p w14:paraId="13E12AD9" w14:textId="77777777" w:rsidR="00994412" w:rsidRPr="00542A5F" w:rsidRDefault="00184B1B" w:rsidP="0019179A">
            <w:pPr>
              <w:pStyle w:val="ListParagraph"/>
              <w:numPr>
                <w:ilvl w:val="0"/>
                <w:numId w:val="1"/>
              </w:numPr>
              <w:spacing w:before="60" w:after="120"/>
              <w:jc w:val="both"/>
              <w:rPr>
                <w:rFonts w:ascii="Work Sans" w:hAnsi="Work Sans" w:cs="Arial"/>
                <w:b/>
              </w:rPr>
            </w:pPr>
            <w:r w:rsidRPr="00542A5F">
              <w:rPr>
                <w:rFonts w:ascii="Work Sans" w:hAnsi="Work Sans" w:cs="Arial"/>
                <w:b/>
              </w:rPr>
              <w:t>APPENDICES</w:t>
            </w:r>
          </w:p>
        </w:tc>
      </w:tr>
      <w:tr w:rsidR="00994412" w:rsidRPr="004C0427" w14:paraId="13E12ADD" w14:textId="77777777" w:rsidTr="742B7822">
        <w:trPr>
          <w:trHeight w:val="261"/>
        </w:trPr>
        <w:tc>
          <w:tcPr>
            <w:tcW w:w="1329" w:type="dxa"/>
          </w:tcPr>
          <w:p w14:paraId="13E12ADB" w14:textId="46DDBBA0" w:rsidR="00994412" w:rsidRPr="00542A5F" w:rsidRDefault="00994412" w:rsidP="008410A0">
            <w:pPr>
              <w:spacing w:before="60" w:after="120"/>
              <w:jc w:val="both"/>
              <w:rPr>
                <w:rFonts w:ascii="Work Sans" w:hAnsi="Work Sans" w:cs="Arial"/>
                <w:b/>
              </w:rPr>
            </w:pPr>
            <w:r w:rsidRPr="00542A5F">
              <w:rPr>
                <w:rFonts w:ascii="Work Sans" w:hAnsi="Work Sans" w:cs="Arial"/>
              </w:rPr>
              <w:t xml:space="preserve">Appendix </w:t>
            </w:r>
            <w:r w:rsidR="00A126D2" w:rsidRPr="00542A5F">
              <w:rPr>
                <w:rFonts w:ascii="Work Sans" w:hAnsi="Work Sans" w:cs="Arial"/>
              </w:rPr>
              <w:t>1</w:t>
            </w:r>
          </w:p>
        </w:tc>
        <w:tc>
          <w:tcPr>
            <w:tcW w:w="8878" w:type="dxa"/>
            <w:gridSpan w:val="6"/>
          </w:tcPr>
          <w:p w14:paraId="13E12ADC" w14:textId="48CCF1C7" w:rsidR="00994412" w:rsidRPr="004C0427" w:rsidRDefault="00874710" w:rsidP="008410A0">
            <w:pPr>
              <w:spacing w:before="60" w:after="120"/>
              <w:jc w:val="both"/>
              <w:rPr>
                <w:rFonts w:ascii="Work Sans" w:hAnsi="Work Sans" w:cs="Arial"/>
              </w:rPr>
            </w:pPr>
            <w:r>
              <w:rPr>
                <w:rFonts w:ascii="Work Sans" w:hAnsi="Work Sans" w:cs="Arial"/>
              </w:rPr>
              <w:t>Customer Friendly A</w:t>
            </w:r>
            <w:r w:rsidR="00A126D2" w:rsidRPr="00542A5F">
              <w:rPr>
                <w:rFonts w:ascii="Work Sans" w:hAnsi="Work Sans" w:cs="Arial"/>
              </w:rPr>
              <w:t>nnual Complaints Performance and Service Improvement Report</w:t>
            </w:r>
          </w:p>
        </w:tc>
      </w:tr>
      <w:tr w:rsidR="7B76DBBA" w14:paraId="35E9BDEC" w14:textId="77777777" w:rsidTr="7B76DBBA">
        <w:trPr>
          <w:trHeight w:val="261"/>
        </w:trPr>
        <w:tc>
          <w:tcPr>
            <w:tcW w:w="1329" w:type="dxa"/>
          </w:tcPr>
          <w:p w14:paraId="08783737" w14:textId="46959156" w:rsidR="7B76DBBA" w:rsidRDefault="004321FA" w:rsidP="7B76DBBA">
            <w:pPr>
              <w:jc w:val="both"/>
              <w:rPr>
                <w:rFonts w:ascii="Work Sans" w:hAnsi="Work Sans" w:cs="Arial"/>
              </w:rPr>
            </w:pPr>
            <w:r>
              <w:rPr>
                <w:rFonts w:ascii="Work Sans" w:hAnsi="Work Sans" w:cs="Arial"/>
              </w:rPr>
              <w:t>Appendix 2</w:t>
            </w:r>
          </w:p>
        </w:tc>
        <w:tc>
          <w:tcPr>
            <w:tcW w:w="8878" w:type="dxa"/>
            <w:gridSpan w:val="6"/>
          </w:tcPr>
          <w:p w14:paraId="7F5DD8E0" w14:textId="5838AB15" w:rsidR="7B76DBBA" w:rsidRDefault="003A23C6" w:rsidP="7B76DBBA">
            <w:pPr>
              <w:jc w:val="both"/>
              <w:rPr>
                <w:rFonts w:ascii="Work Sans" w:hAnsi="Work Sans" w:cs="Arial"/>
              </w:rPr>
            </w:pPr>
            <w:r>
              <w:rPr>
                <w:rFonts w:ascii="Work Sans" w:hAnsi="Work Sans" w:cs="Arial"/>
              </w:rPr>
              <w:t>Complaint Handling Code Self-Assessment 2026</w:t>
            </w:r>
          </w:p>
        </w:tc>
      </w:tr>
      <w:tr w:rsidR="00874710" w14:paraId="26204005" w14:textId="77777777" w:rsidTr="7B76DBBA">
        <w:trPr>
          <w:trHeight w:val="261"/>
        </w:trPr>
        <w:tc>
          <w:tcPr>
            <w:tcW w:w="1329" w:type="dxa"/>
          </w:tcPr>
          <w:p w14:paraId="18773588" w14:textId="77777777" w:rsidR="00874710" w:rsidRDefault="00874710" w:rsidP="7B76DBBA">
            <w:pPr>
              <w:jc w:val="both"/>
              <w:rPr>
                <w:rFonts w:ascii="Work Sans" w:hAnsi="Work Sans" w:cs="Arial"/>
              </w:rPr>
            </w:pPr>
          </w:p>
        </w:tc>
        <w:tc>
          <w:tcPr>
            <w:tcW w:w="8878" w:type="dxa"/>
            <w:gridSpan w:val="6"/>
          </w:tcPr>
          <w:p w14:paraId="304D7222" w14:textId="77777777" w:rsidR="00874710" w:rsidRDefault="00874710" w:rsidP="7B76DBBA">
            <w:pPr>
              <w:jc w:val="both"/>
              <w:rPr>
                <w:rFonts w:ascii="Work Sans" w:hAnsi="Work Sans" w:cs="Arial"/>
              </w:rPr>
            </w:pPr>
          </w:p>
        </w:tc>
      </w:tr>
    </w:tbl>
    <w:p w14:paraId="13E12AF9" w14:textId="42D3B555" w:rsidR="00D95B8D" w:rsidRDefault="00D95B8D" w:rsidP="009E4BB5">
      <w:pPr>
        <w:spacing w:line="280" w:lineRule="exact"/>
        <w:ind w:left="-180"/>
        <w:rPr>
          <w:rFonts w:ascii="Work Sans" w:hAnsi="Work Sans" w:cs="Arial"/>
        </w:rPr>
      </w:pPr>
    </w:p>
    <w:p w14:paraId="4EE04AC1" w14:textId="60315956" w:rsidR="00D95B8D" w:rsidRDefault="00D95B8D">
      <w:pPr>
        <w:rPr>
          <w:rFonts w:ascii="Work Sans" w:hAnsi="Work Sans" w:cs="Arial"/>
        </w:rPr>
      </w:pPr>
    </w:p>
    <w:sectPr w:rsidR="00D95B8D" w:rsidSect="00AC7E80">
      <w:footerReference w:type="default" r:id="rId25"/>
      <w:pgSz w:w="11906" w:h="16838" w:code="9"/>
      <w:pgMar w:top="720" w:right="748" w:bottom="720" w:left="1134" w:header="425"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4E22" w14:textId="77777777" w:rsidR="00FC05CC" w:rsidRDefault="00FC05CC">
      <w:r>
        <w:separator/>
      </w:r>
    </w:p>
  </w:endnote>
  <w:endnote w:type="continuationSeparator" w:id="0">
    <w:p w14:paraId="5B601874" w14:textId="77777777" w:rsidR="00FC05CC" w:rsidRDefault="00FC05CC">
      <w:r>
        <w:continuationSeparator/>
      </w:r>
    </w:p>
  </w:endnote>
  <w:endnote w:type="continuationNotice" w:id="1">
    <w:p w14:paraId="0EA4019C" w14:textId="77777777" w:rsidR="00FC05CC" w:rsidRDefault="00FC0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20000007" w:usb1="00000001"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2B00" w14:textId="77777777" w:rsidR="004570B3" w:rsidRPr="0057008B" w:rsidRDefault="004570B3" w:rsidP="002D5B1C">
    <w:pPr>
      <w:pStyle w:val="Footer"/>
      <w:jc w:val="center"/>
      <w:rPr>
        <w:rFonts w:ascii="Arial" w:hAnsi="Arial" w:cs="Arial"/>
        <w:sz w:val="20"/>
        <w:szCs w:val="20"/>
      </w:rPr>
    </w:pPr>
    <w:r w:rsidRPr="0057008B">
      <w:rPr>
        <w:rFonts w:ascii="Arial" w:hAnsi="Arial" w:cs="Arial"/>
        <w:sz w:val="20"/>
        <w:szCs w:val="20"/>
      </w:rPr>
      <w:t xml:space="preserve">Page </w:t>
    </w:r>
    <w:r w:rsidRPr="0057008B">
      <w:rPr>
        <w:rFonts w:ascii="Arial" w:hAnsi="Arial" w:cs="Arial"/>
        <w:sz w:val="20"/>
        <w:szCs w:val="20"/>
      </w:rPr>
      <w:fldChar w:fldCharType="begin"/>
    </w:r>
    <w:r w:rsidRPr="0057008B">
      <w:rPr>
        <w:rFonts w:ascii="Arial" w:hAnsi="Arial" w:cs="Arial"/>
        <w:sz w:val="20"/>
        <w:szCs w:val="20"/>
      </w:rPr>
      <w:instrText xml:space="preserve"> PAGE </w:instrText>
    </w:r>
    <w:r w:rsidRPr="0057008B">
      <w:rPr>
        <w:rFonts w:ascii="Arial" w:hAnsi="Arial" w:cs="Arial"/>
        <w:sz w:val="20"/>
        <w:szCs w:val="20"/>
      </w:rPr>
      <w:fldChar w:fldCharType="separate"/>
    </w:r>
    <w:r w:rsidR="00D13E0D">
      <w:rPr>
        <w:rFonts w:ascii="Arial" w:hAnsi="Arial" w:cs="Arial"/>
        <w:noProof/>
        <w:sz w:val="20"/>
        <w:szCs w:val="20"/>
      </w:rPr>
      <w:t>1</w:t>
    </w:r>
    <w:r w:rsidRPr="0057008B">
      <w:rPr>
        <w:rFonts w:ascii="Arial" w:hAnsi="Arial" w:cs="Arial"/>
        <w:sz w:val="20"/>
        <w:szCs w:val="20"/>
      </w:rPr>
      <w:fldChar w:fldCharType="end"/>
    </w:r>
    <w:r w:rsidRPr="0057008B">
      <w:rPr>
        <w:rFonts w:ascii="Arial" w:hAnsi="Arial" w:cs="Arial"/>
        <w:sz w:val="20"/>
        <w:szCs w:val="20"/>
      </w:rPr>
      <w:t xml:space="preserve"> of </w:t>
    </w:r>
    <w:r w:rsidRPr="0057008B">
      <w:rPr>
        <w:rFonts w:ascii="Arial" w:hAnsi="Arial" w:cs="Arial"/>
        <w:sz w:val="20"/>
        <w:szCs w:val="20"/>
      </w:rPr>
      <w:fldChar w:fldCharType="begin"/>
    </w:r>
    <w:r w:rsidRPr="0057008B">
      <w:rPr>
        <w:rFonts w:ascii="Arial" w:hAnsi="Arial" w:cs="Arial"/>
        <w:sz w:val="20"/>
        <w:szCs w:val="20"/>
      </w:rPr>
      <w:instrText xml:space="preserve"> NUMPAGES </w:instrText>
    </w:r>
    <w:r w:rsidRPr="0057008B">
      <w:rPr>
        <w:rFonts w:ascii="Arial" w:hAnsi="Arial" w:cs="Arial"/>
        <w:sz w:val="20"/>
        <w:szCs w:val="20"/>
      </w:rPr>
      <w:fldChar w:fldCharType="separate"/>
    </w:r>
    <w:r w:rsidR="00D13E0D">
      <w:rPr>
        <w:rFonts w:ascii="Arial" w:hAnsi="Arial" w:cs="Arial"/>
        <w:noProof/>
        <w:sz w:val="20"/>
        <w:szCs w:val="20"/>
      </w:rPr>
      <w:t>4</w:t>
    </w:r>
    <w:r w:rsidRPr="0057008B">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128B2" w14:textId="77777777" w:rsidR="00FC05CC" w:rsidRDefault="00FC05CC">
      <w:r>
        <w:separator/>
      </w:r>
    </w:p>
  </w:footnote>
  <w:footnote w:type="continuationSeparator" w:id="0">
    <w:p w14:paraId="59214198" w14:textId="77777777" w:rsidR="00FC05CC" w:rsidRDefault="00FC05CC">
      <w:r>
        <w:continuationSeparator/>
      </w:r>
    </w:p>
  </w:footnote>
  <w:footnote w:type="continuationNotice" w:id="1">
    <w:p w14:paraId="4A04FFD8" w14:textId="77777777" w:rsidR="00FC05CC" w:rsidRDefault="00FC05CC"/>
  </w:footnote>
</w:footnotes>
</file>

<file path=word/intelligence2.xml><?xml version="1.0" encoding="utf-8"?>
<int2:intelligence xmlns:int2="http://schemas.microsoft.com/office/intelligence/2020/intelligence" xmlns:oel="http://schemas.microsoft.com/office/2019/extlst">
  <int2:observations>
    <int2:textHash int2:hashCode="LZEJeCHmMM8sBV" int2:id="r4lVf8J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A7E"/>
    <w:multiLevelType w:val="hybridMultilevel"/>
    <w:tmpl w:val="64AEBFEA"/>
    <w:lvl w:ilvl="0" w:tplc="1A1E3344">
      <w:start w:val="1"/>
      <w:numFmt w:val="bullet"/>
      <w:lvlText w:val="•"/>
      <w:lvlJc w:val="left"/>
      <w:pPr>
        <w:tabs>
          <w:tab w:val="num" w:pos="720"/>
        </w:tabs>
        <w:ind w:left="720" w:hanging="360"/>
      </w:pPr>
      <w:rPr>
        <w:rFonts w:ascii="Arial" w:hAnsi="Arial" w:hint="default"/>
      </w:rPr>
    </w:lvl>
    <w:lvl w:ilvl="1" w:tplc="30521A62" w:tentative="1">
      <w:start w:val="1"/>
      <w:numFmt w:val="bullet"/>
      <w:lvlText w:val="•"/>
      <w:lvlJc w:val="left"/>
      <w:pPr>
        <w:tabs>
          <w:tab w:val="num" w:pos="1440"/>
        </w:tabs>
        <w:ind w:left="1440" w:hanging="360"/>
      </w:pPr>
      <w:rPr>
        <w:rFonts w:ascii="Arial" w:hAnsi="Arial" w:hint="default"/>
      </w:rPr>
    </w:lvl>
    <w:lvl w:ilvl="2" w:tplc="76FC354A" w:tentative="1">
      <w:start w:val="1"/>
      <w:numFmt w:val="bullet"/>
      <w:lvlText w:val="•"/>
      <w:lvlJc w:val="left"/>
      <w:pPr>
        <w:tabs>
          <w:tab w:val="num" w:pos="2160"/>
        </w:tabs>
        <w:ind w:left="2160" w:hanging="360"/>
      </w:pPr>
      <w:rPr>
        <w:rFonts w:ascii="Arial" w:hAnsi="Arial" w:hint="default"/>
      </w:rPr>
    </w:lvl>
    <w:lvl w:ilvl="3" w:tplc="A0DCA6E2" w:tentative="1">
      <w:start w:val="1"/>
      <w:numFmt w:val="bullet"/>
      <w:lvlText w:val="•"/>
      <w:lvlJc w:val="left"/>
      <w:pPr>
        <w:tabs>
          <w:tab w:val="num" w:pos="2880"/>
        </w:tabs>
        <w:ind w:left="2880" w:hanging="360"/>
      </w:pPr>
      <w:rPr>
        <w:rFonts w:ascii="Arial" w:hAnsi="Arial" w:hint="default"/>
      </w:rPr>
    </w:lvl>
    <w:lvl w:ilvl="4" w:tplc="ADB450E2" w:tentative="1">
      <w:start w:val="1"/>
      <w:numFmt w:val="bullet"/>
      <w:lvlText w:val="•"/>
      <w:lvlJc w:val="left"/>
      <w:pPr>
        <w:tabs>
          <w:tab w:val="num" w:pos="3600"/>
        </w:tabs>
        <w:ind w:left="3600" w:hanging="360"/>
      </w:pPr>
      <w:rPr>
        <w:rFonts w:ascii="Arial" w:hAnsi="Arial" w:hint="default"/>
      </w:rPr>
    </w:lvl>
    <w:lvl w:ilvl="5" w:tplc="77DEFB6A" w:tentative="1">
      <w:start w:val="1"/>
      <w:numFmt w:val="bullet"/>
      <w:lvlText w:val="•"/>
      <w:lvlJc w:val="left"/>
      <w:pPr>
        <w:tabs>
          <w:tab w:val="num" w:pos="4320"/>
        </w:tabs>
        <w:ind w:left="4320" w:hanging="360"/>
      </w:pPr>
      <w:rPr>
        <w:rFonts w:ascii="Arial" w:hAnsi="Arial" w:hint="default"/>
      </w:rPr>
    </w:lvl>
    <w:lvl w:ilvl="6" w:tplc="A67EA192" w:tentative="1">
      <w:start w:val="1"/>
      <w:numFmt w:val="bullet"/>
      <w:lvlText w:val="•"/>
      <w:lvlJc w:val="left"/>
      <w:pPr>
        <w:tabs>
          <w:tab w:val="num" w:pos="5040"/>
        </w:tabs>
        <w:ind w:left="5040" w:hanging="360"/>
      </w:pPr>
      <w:rPr>
        <w:rFonts w:ascii="Arial" w:hAnsi="Arial" w:hint="default"/>
      </w:rPr>
    </w:lvl>
    <w:lvl w:ilvl="7" w:tplc="C87CEE46" w:tentative="1">
      <w:start w:val="1"/>
      <w:numFmt w:val="bullet"/>
      <w:lvlText w:val="•"/>
      <w:lvlJc w:val="left"/>
      <w:pPr>
        <w:tabs>
          <w:tab w:val="num" w:pos="5760"/>
        </w:tabs>
        <w:ind w:left="5760" w:hanging="360"/>
      </w:pPr>
      <w:rPr>
        <w:rFonts w:ascii="Arial" w:hAnsi="Arial" w:hint="default"/>
      </w:rPr>
    </w:lvl>
    <w:lvl w:ilvl="8" w:tplc="B39270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6C3D5D"/>
    <w:multiLevelType w:val="multilevel"/>
    <w:tmpl w:val="B616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40253"/>
    <w:multiLevelType w:val="hybridMultilevel"/>
    <w:tmpl w:val="B2F034D8"/>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3" w15:restartNumberingAfterBreak="0">
    <w:nsid w:val="133C0C2B"/>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6615C3"/>
    <w:multiLevelType w:val="hybridMultilevel"/>
    <w:tmpl w:val="2B7A7308"/>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5" w15:restartNumberingAfterBreak="0">
    <w:nsid w:val="165578F1"/>
    <w:multiLevelType w:val="multilevel"/>
    <w:tmpl w:val="7F3A7CAC"/>
    <w:lvl w:ilvl="0">
      <w:start w:val="1"/>
      <w:numFmt w:val="decimal"/>
      <w:lvlText w:val="%1."/>
      <w:lvlJc w:val="left"/>
      <w:pPr>
        <w:ind w:left="360" w:hanging="360"/>
      </w:pPr>
      <w:rPr>
        <w:b w:val="0"/>
      </w:rPr>
    </w:lvl>
    <w:lvl w:ilvl="1">
      <w:start w:val="1"/>
      <w:numFmt w:val="decimal"/>
      <w:lvlText w:val="%1.%2."/>
      <w:lvlJc w:val="left"/>
      <w:pPr>
        <w:ind w:left="819" w:hanging="432"/>
      </w:pPr>
      <w:rPr>
        <w:b w:val="0"/>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BB0B64"/>
    <w:multiLevelType w:val="hybridMultilevel"/>
    <w:tmpl w:val="42D40B6E"/>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7" w15:restartNumberingAfterBreak="0">
    <w:nsid w:val="191560D9"/>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897767"/>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C27497"/>
    <w:multiLevelType w:val="hybridMultilevel"/>
    <w:tmpl w:val="F87C3B34"/>
    <w:lvl w:ilvl="0" w:tplc="08090001">
      <w:start w:val="1"/>
      <w:numFmt w:val="bullet"/>
      <w:lvlText w:val=""/>
      <w:lvlJc w:val="left"/>
      <w:pPr>
        <w:ind w:left="1514" w:hanging="360"/>
      </w:pPr>
      <w:rPr>
        <w:rFonts w:ascii="Symbol" w:hAnsi="Symbol" w:hint="default"/>
      </w:rPr>
    </w:lvl>
    <w:lvl w:ilvl="1" w:tplc="08090003">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0" w15:restartNumberingAfterBreak="0">
    <w:nsid w:val="217714AB"/>
    <w:multiLevelType w:val="hybridMultilevel"/>
    <w:tmpl w:val="2C8A226E"/>
    <w:lvl w:ilvl="0" w:tplc="08090001">
      <w:start w:val="1"/>
      <w:numFmt w:val="bullet"/>
      <w:lvlText w:val=""/>
      <w:lvlJc w:val="left"/>
      <w:pPr>
        <w:ind w:left="1154"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1CE15E4"/>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3C1635"/>
    <w:multiLevelType w:val="multilevel"/>
    <w:tmpl w:val="7F3A7CAC"/>
    <w:lvl w:ilvl="0">
      <w:start w:val="1"/>
      <w:numFmt w:val="decimal"/>
      <w:lvlText w:val="%1."/>
      <w:lvlJc w:val="left"/>
      <w:pPr>
        <w:ind w:left="360" w:hanging="360"/>
      </w:pPr>
      <w:rPr>
        <w:b w:val="0"/>
      </w:rPr>
    </w:lvl>
    <w:lvl w:ilvl="1">
      <w:start w:val="1"/>
      <w:numFmt w:val="decimal"/>
      <w:lvlText w:val="%1.%2."/>
      <w:lvlJc w:val="left"/>
      <w:pPr>
        <w:ind w:left="819" w:hanging="432"/>
      </w:pPr>
      <w:rPr>
        <w:b w:val="0"/>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8A749B"/>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F56877"/>
    <w:multiLevelType w:val="hybridMultilevel"/>
    <w:tmpl w:val="F912D644"/>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5" w15:restartNumberingAfterBreak="0">
    <w:nsid w:val="351818DB"/>
    <w:multiLevelType w:val="multilevel"/>
    <w:tmpl w:val="F4B0971C"/>
    <w:lvl w:ilvl="0">
      <w:start w:val="1"/>
      <w:numFmt w:val="decimal"/>
      <w:lvlText w:val="%1."/>
      <w:lvlJc w:val="left"/>
      <w:pPr>
        <w:ind w:left="360" w:hanging="360"/>
      </w:pPr>
      <w:rPr>
        <w:b w:val="0"/>
      </w:rPr>
    </w:lvl>
    <w:lvl w:ilvl="1">
      <w:start w:val="1"/>
      <w:numFmt w:val="decimal"/>
      <w:lvlText w:val="%1.%2."/>
      <w:lvlJc w:val="left"/>
      <w:pPr>
        <w:ind w:left="819" w:hanging="432"/>
      </w:pPr>
      <w:rPr>
        <w:b w:val="0"/>
        <w:i w:val="0"/>
        <w:iCs w:val="0"/>
        <w:strike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2D018B"/>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C00388"/>
    <w:multiLevelType w:val="multilevel"/>
    <w:tmpl w:val="049E6AD6"/>
    <w:lvl w:ilvl="0">
      <w:start w:val="1"/>
      <w:numFmt w:val="decimal"/>
      <w:lvlText w:val="%1."/>
      <w:lvlJc w:val="left"/>
      <w:pPr>
        <w:ind w:left="360" w:hanging="360"/>
      </w:pPr>
      <w:rPr>
        <w:b w:val="0"/>
      </w:rPr>
    </w:lvl>
    <w:lvl w:ilvl="1">
      <w:start w:val="1"/>
      <w:numFmt w:val="decimal"/>
      <w:lvlText w:val="%1.%2."/>
      <w:lvlJc w:val="left"/>
      <w:pPr>
        <w:ind w:left="819" w:hanging="432"/>
      </w:pPr>
      <w:rPr>
        <w:b w:val="0"/>
        <w:i w:val="0"/>
        <w:iCs w:val="0"/>
        <w:strike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1F19BD"/>
    <w:multiLevelType w:val="hybridMultilevel"/>
    <w:tmpl w:val="167CF73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9" w15:restartNumberingAfterBreak="0">
    <w:nsid w:val="4A37589E"/>
    <w:multiLevelType w:val="hybridMultilevel"/>
    <w:tmpl w:val="273A295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51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CA7B46"/>
    <w:multiLevelType w:val="multilevel"/>
    <w:tmpl w:val="7F3A7CAC"/>
    <w:lvl w:ilvl="0">
      <w:start w:val="1"/>
      <w:numFmt w:val="decimal"/>
      <w:lvlText w:val="%1."/>
      <w:lvlJc w:val="left"/>
      <w:pPr>
        <w:ind w:left="360" w:hanging="360"/>
      </w:pPr>
      <w:rPr>
        <w:b w:val="0"/>
      </w:rPr>
    </w:lvl>
    <w:lvl w:ilvl="1">
      <w:start w:val="1"/>
      <w:numFmt w:val="decimal"/>
      <w:lvlText w:val="%1.%2."/>
      <w:lvlJc w:val="left"/>
      <w:pPr>
        <w:ind w:left="819" w:hanging="432"/>
      </w:pPr>
      <w:rPr>
        <w:b w:val="0"/>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BC725B"/>
    <w:multiLevelType w:val="hybridMultilevel"/>
    <w:tmpl w:val="B794227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2" w15:restartNumberingAfterBreak="0">
    <w:nsid w:val="60073B78"/>
    <w:multiLevelType w:val="multilevel"/>
    <w:tmpl w:val="345634B4"/>
    <w:lvl w:ilvl="0">
      <w:start w:val="1"/>
      <w:numFmt w:val="bullet"/>
      <w:lvlText w:val=""/>
      <w:lvlJc w:val="left"/>
      <w:pPr>
        <w:tabs>
          <w:tab w:val="num" w:pos="1154"/>
        </w:tabs>
        <w:ind w:left="1154" w:hanging="360"/>
      </w:pPr>
      <w:rPr>
        <w:rFonts w:ascii="Symbol" w:hAnsi="Symbol" w:hint="default"/>
        <w:sz w:val="20"/>
      </w:rPr>
    </w:lvl>
    <w:lvl w:ilvl="1" w:tentative="1">
      <w:start w:val="1"/>
      <w:numFmt w:val="bullet"/>
      <w:lvlText w:val="o"/>
      <w:lvlJc w:val="left"/>
      <w:pPr>
        <w:tabs>
          <w:tab w:val="num" w:pos="1874"/>
        </w:tabs>
        <w:ind w:left="1874" w:hanging="360"/>
      </w:pPr>
      <w:rPr>
        <w:rFonts w:ascii="Courier New" w:hAnsi="Courier New" w:hint="default"/>
        <w:sz w:val="20"/>
      </w:rPr>
    </w:lvl>
    <w:lvl w:ilvl="2" w:tentative="1">
      <w:start w:val="1"/>
      <w:numFmt w:val="bullet"/>
      <w:lvlText w:val=""/>
      <w:lvlJc w:val="left"/>
      <w:pPr>
        <w:tabs>
          <w:tab w:val="num" w:pos="2594"/>
        </w:tabs>
        <w:ind w:left="2594" w:hanging="360"/>
      </w:pPr>
      <w:rPr>
        <w:rFonts w:ascii="Wingdings" w:hAnsi="Wingdings" w:hint="default"/>
        <w:sz w:val="20"/>
      </w:rPr>
    </w:lvl>
    <w:lvl w:ilvl="3" w:tentative="1">
      <w:start w:val="1"/>
      <w:numFmt w:val="bullet"/>
      <w:lvlText w:val=""/>
      <w:lvlJc w:val="left"/>
      <w:pPr>
        <w:tabs>
          <w:tab w:val="num" w:pos="3314"/>
        </w:tabs>
        <w:ind w:left="3314" w:hanging="360"/>
      </w:pPr>
      <w:rPr>
        <w:rFonts w:ascii="Wingdings" w:hAnsi="Wingdings" w:hint="default"/>
        <w:sz w:val="20"/>
      </w:rPr>
    </w:lvl>
    <w:lvl w:ilvl="4" w:tentative="1">
      <w:start w:val="1"/>
      <w:numFmt w:val="bullet"/>
      <w:lvlText w:val=""/>
      <w:lvlJc w:val="left"/>
      <w:pPr>
        <w:tabs>
          <w:tab w:val="num" w:pos="4034"/>
        </w:tabs>
        <w:ind w:left="4034" w:hanging="360"/>
      </w:pPr>
      <w:rPr>
        <w:rFonts w:ascii="Wingdings" w:hAnsi="Wingdings" w:hint="default"/>
        <w:sz w:val="20"/>
      </w:rPr>
    </w:lvl>
    <w:lvl w:ilvl="5" w:tentative="1">
      <w:start w:val="1"/>
      <w:numFmt w:val="bullet"/>
      <w:lvlText w:val=""/>
      <w:lvlJc w:val="left"/>
      <w:pPr>
        <w:tabs>
          <w:tab w:val="num" w:pos="4754"/>
        </w:tabs>
        <w:ind w:left="4754" w:hanging="360"/>
      </w:pPr>
      <w:rPr>
        <w:rFonts w:ascii="Wingdings" w:hAnsi="Wingdings" w:hint="default"/>
        <w:sz w:val="20"/>
      </w:rPr>
    </w:lvl>
    <w:lvl w:ilvl="6" w:tentative="1">
      <w:start w:val="1"/>
      <w:numFmt w:val="bullet"/>
      <w:lvlText w:val=""/>
      <w:lvlJc w:val="left"/>
      <w:pPr>
        <w:tabs>
          <w:tab w:val="num" w:pos="5474"/>
        </w:tabs>
        <w:ind w:left="5474" w:hanging="360"/>
      </w:pPr>
      <w:rPr>
        <w:rFonts w:ascii="Wingdings" w:hAnsi="Wingdings" w:hint="default"/>
        <w:sz w:val="20"/>
      </w:rPr>
    </w:lvl>
    <w:lvl w:ilvl="7" w:tentative="1">
      <w:start w:val="1"/>
      <w:numFmt w:val="bullet"/>
      <w:lvlText w:val=""/>
      <w:lvlJc w:val="left"/>
      <w:pPr>
        <w:tabs>
          <w:tab w:val="num" w:pos="6194"/>
        </w:tabs>
        <w:ind w:left="6194" w:hanging="360"/>
      </w:pPr>
      <w:rPr>
        <w:rFonts w:ascii="Wingdings" w:hAnsi="Wingdings" w:hint="default"/>
        <w:sz w:val="20"/>
      </w:rPr>
    </w:lvl>
    <w:lvl w:ilvl="8" w:tentative="1">
      <w:start w:val="1"/>
      <w:numFmt w:val="bullet"/>
      <w:lvlText w:val=""/>
      <w:lvlJc w:val="left"/>
      <w:pPr>
        <w:tabs>
          <w:tab w:val="num" w:pos="6914"/>
        </w:tabs>
        <w:ind w:left="6914" w:hanging="360"/>
      </w:pPr>
      <w:rPr>
        <w:rFonts w:ascii="Wingdings" w:hAnsi="Wingdings" w:hint="default"/>
        <w:sz w:val="20"/>
      </w:rPr>
    </w:lvl>
  </w:abstractNum>
  <w:abstractNum w:abstractNumId="23" w15:restartNumberingAfterBreak="0">
    <w:nsid w:val="62081187"/>
    <w:multiLevelType w:val="hybridMultilevel"/>
    <w:tmpl w:val="32D2170A"/>
    <w:lvl w:ilvl="0" w:tplc="3494986A">
      <w:start w:val="1"/>
      <w:numFmt w:val="bullet"/>
      <w:lvlText w:val="•"/>
      <w:lvlJc w:val="left"/>
      <w:pPr>
        <w:tabs>
          <w:tab w:val="num" w:pos="720"/>
        </w:tabs>
        <w:ind w:left="720" w:hanging="360"/>
      </w:pPr>
      <w:rPr>
        <w:rFonts w:ascii="Arial" w:hAnsi="Arial" w:hint="default"/>
      </w:rPr>
    </w:lvl>
    <w:lvl w:ilvl="1" w:tplc="C83A0E8A" w:tentative="1">
      <w:start w:val="1"/>
      <w:numFmt w:val="bullet"/>
      <w:lvlText w:val="•"/>
      <w:lvlJc w:val="left"/>
      <w:pPr>
        <w:tabs>
          <w:tab w:val="num" w:pos="1440"/>
        </w:tabs>
        <w:ind w:left="1440" w:hanging="360"/>
      </w:pPr>
      <w:rPr>
        <w:rFonts w:ascii="Arial" w:hAnsi="Arial" w:hint="default"/>
      </w:rPr>
    </w:lvl>
    <w:lvl w:ilvl="2" w:tplc="19900644" w:tentative="1">
      <w:start w:val="1"/>
      <w:numFmt w:val="bullet"/>
      <w:lvlText w:val="•"/>
      <w:lvlJc w:val="left"/>
      <w:pPr>
        <w:tabs>
          <w:tab w:val="num" w:pos="2160"/>
        </w:tabs>
        <w:ind w:left="2160" w:hanging="360"/>
      </w:pPr>
      <w:rPr>
        <w:rFonts w:ascii="Arial" w:hAnsi="Arial" w:hint="default"/>
      </w:rPr>
    </w:lvl>
    <w:lvl w:ilvl="3" w:tplc="C4906ADE" w:tentative="1">
      <w:start w:val="1"/>
      <w:numFmt w:val="bullet"/>
      <w:lvlText w:val="•"/>
      <w:lvlJc w:val="left"/>
      <w:pPr>
        <w:tabs>
          <w:tab w:val="num" w:pos="2880"/>
        </w:tabs>
        <w:ind w:left="2880" w:hanging="360"/>
      </w:pPr>
      <w:rPr>
        <w:rFonts w:ascii="Arial" w:hAnsi="Arial" w:hint="default"/>
      </w:rPr>
    </w:lvl>
    <w:lvl w:ilvl="4" w:tplc="4C70CC1E" w:tentative="1">
      <w:start w:val="1"/>
      <w:numFmt w:val="bullet"/>
      <w:lvlText w:val="•"/>
      <w:lvlJc w:val="left"/>
      <w:pPr>
        <w:tabs>
          <w:tab w:val="num" w:pos="3600"/>
        </w:tabs>
        <w:ind w:left="3600" w:hanging="360"/>
      </w:pPr>
      <w:rPr>
        <w:rFonts w:ascii="Arial" w:hAnsi="Arial" w:hint="default"/>
      </w:rPr>
    </w:lvl>
    <w:lvl w:ilvl="5" w:tplc="4BD0DD50" w:tentative="1">
      <w:start w:val="1"/>
      <w:numFmt w:val="bullet"/>
      <w:lvlText w:val="•"/>
      <w:lvlJc w:val="left"/>
      <w:pPr>
        <w:tabs>
          <w:tab w:val="num" w:pos="4320"/>
        </w:tabs>
        <w:ind w:left="4320" w:hanging="360"/>
      </w:pPr>
      <w:rPr>
        <w:rFonts w:ascii="Arial" w:hAnsi="Arial" w:hint="default"/>
      </w:rPr>
    </w:lvl>
    <w:lvl w:ilvl="6" w:tplc="F710CF78" w:tentative="1">
      <w:start w:val="1"/>
      <w:numFmt w:val="bullet"/>
      <w:lvlText w:val="•"/>
      <w:lvlJc w:val="left"/>
      <w:pPr>
        <w:tabs>
          <w:tab w:val="num" w:pos="5040"/>
        </w:tabs>
        <w:ind w:left="5040" w:hanging="360"/>
      </w:pPr>
      <w:rPr>
        <w:rFonts w:ascii="Arial" w:hAnsi="Arial" w:hint="default"/>
      </w:rPr>
    </w:lvl>
    <w:lvl w:ilvl="7" w:tplc="B2DAECD0" w:tentative="1">
      <w:start w:val="1"/>
      <w:numFmt w:val="bullet"/>
      <w:lvlText w:val="•"/>
      <w:lvlJc w:val="left"/>
      <w:pPr>
        <w:tabs>
          <w:tab w:val="num" w:pos="5760"/>
        </w:tabs>
        <w:ind w:left="5760" w:hanging="360"/>
      </w:pPr>
      <w:rPr>
        <w:rFonts w:ascii="Arial" w:hAnsi="Arial" w:hint="default"/>
      </w:rPr>
    </w:lvl>
    <w:lvl w:ilvl="8" w:tplc="8250AE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945E66"/>
    <w:multiLevelType w:val="hybridMultilevel"/>
    <w:tmpl w:val="952EAE98"/>
    <w:lvl w:ilvl="0" w:tplc="74F6A07A">
      <w:start w:val="1"/>
      <w:numFmt w:val="bullet"/>
      <w:lvlText w:val=""/>
      <w:lvlJc w:val="left"/>
      <w:pPr>
        <w:ind w:left="1440" w:hanging="360"/>
      </w:pPr>
      <w:rPr>
        <w:rFonts w:ascii="Symbol" w:hAnsi="Symbol" w:hint="default"/>
      </w:rPr>
    </w:lvl>
    <w:lvl w:ilvl="1" w:tplc="FC2EFF14" w:tentative="1">
      <w:start w:val="1"/>
      <w:numFmt w:val="bullet"/>
      <w:lvlText w:val="o"/>
      <w:lvlJc w:val="left"/>
      <w:pPr>
        <w:ind w:left="2160" w:hanging="360"/>
      </w:pPr>
      <w:rPr>
        <w:rFonts w:ascii="Courier New" w:hAnsi="Courier New" w:hint="default"/>
      </w:rPr>
    </w:lvl>
    <w:lvl w:ilvl="2" w:tplc="3E965E60" w:tentative="1">
      <w:start w:val="1"/>
      <w:numFmt w:val="bullet"/>
      <w:lvlText w:val=""/>
      <w:lvlJc w:val="left"/>
      <w:pPr>
        <w:ind w:left="2880" w:hanging="360"/>
      </w:pPr>
      <w:rPr>
        <w:rFonts w:ascii="Wingdings" w:hAnsi="Wingdings" w:hint="default"/>
      </w:rPr>
    </w:lvl>
    <w:lvl w:ilvl="3" w:tplc="FBFE0CAA" w:tentative="1">
      <w:start w:val="1"/>
      <w:numFmt w:val="bullet"/>
      <w:lvlText w:val=""/>
      <w:lvlJc w:val="left"/>
      <w:pPr>
        <w:ind w:left="3600" w:hanging="360"/>
      </w:pPr>
      <w:rPr>
        <w:rFonts w:ascii="Symbol" w:hAnsi="Symbol" w:hint="default"/>
      </w:rPr>
    </w:lvl>
    <w:lvl w:ilvl="4" w:tplc="23BAED6A" w:tentative="1">
      <w:start w:val="1"/>
      <w:numFmt w:val="bullet"/>
      <w:lvlText w:val="o"/>
      <w:lvlJc w:val="left"/>
      <w:pPr>
        <w:ind w:left="4320" w:hanging="360"/>
      </w:pPr>
      <w:rPr>
        <w:rFonts w:ascii="Courier New" w:hAnsi="Courier New" w:hint="default"/>
      </w:rPr>
    </w:lvl>
    <w:lvl w:ilvl="5" w:tplc="B4D4C9B8" w:tentative="1">
      <w:start w:val="1"/>
      <w:numFmt w:val="bullet"/>
      <w:lvlText w:val=""/>
      <w:lvlJc w:val="left"/>
      <w:pPr>
        <w:ind w:left="5040" w:hanging="360"/>
      </w:pPr>
      <w:rPr>
        <w:rFonts w:ascii="Wingdings" w:hAnsi="Wingdings" w:hint="default"/>
      </w:rPr>
    </w:lvl>
    <w:lvl w:ilvl="6" w:tplc="12D02D72" w:tentative="1">
      <w:start w:val="1"/>
      <w:numFmt w:val="bullet"/>
      <w:lvlText w:val=""/>
      <w:lvlJc w:val="left"/>
      <w:pPr>
        <w:ind w:left="5760" w:hanging="360"/>
      </w:pPr>
      <w:rPr>
        <w:rFonts w:ascii="Symbol" w:hAnsi="Symbol" w:hint="default"/>
      </w:rPr>
    </w:lvl>
    <w:lvl w:ilvl="7" w:tplc="F99C8410" w:tentative="1">
      <w:start w:val="1"/>
      <w:numFmt w:val="bullet"/>
      <w:lvlText w:val="o"/>
      <w:lvlJc w:val="left"/>
      <w:pPr>
        <w:ind w:left="6480" w:hanging="360"/>
      </w:pPr>
      <w:rPr>
        <w:rFonts w:ascii="Courier New" w:hAnsi="Courier New" w:hint="default"/>
      </w:rPr>
    </w:lvl>
    <w:lvl w:ilvl="8" w:tplc="C8BED85E" w:tentative="1">
      <w:start w:val="1"/>
      <w:numFmt w:val="bullet"/>
      <w:lvlText w:val=""/>
      <w:lvlJc w:val="left"/>
      <w:pPr>
        <w:ind w:left="7200" w:hanging="360"/>
      </w:pPr>
      <w:rPr>
        <w:rFonts w:ascii="Wingdings" w:hAnsi="Wingdings" w:hint="default"/>
      </w:rPr>
    </w:lvl>
  </w:abstractNum>
  <w:abstractNum w:abstractNumId="25" w15:restartNumberingAfterBreak="0">
    <w:nsid w:val="6F2E79A4"/>
    <w:multiLevelType w:val="hybridMultilevel"/>
    <w:tmpl w:val="2DE28F54"/>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26" w15:restartNumberingAfterBreak="0">
    <w:nsid w:val="7AF15291"/>
    <w:multiLevelType w:val="multilevel"/>
    <w:tmpl w:val="5D82D4B6"/>
    <w:lvl w:ilvl="0">
      <w:start w:val="1"/>
      <w:numFmt w:val="bullet"/>
      <w:lvlText w:val=""/>
      <w:lvlJc w:val="left"/>
      <w:pPr>
        <w:ind w:left="360" w:hanging="360"/>
      </w:pPr>
      <w:rPr>
        <w:rFonts w:ascii="Symbol" w:hAnsi="Symbol" w:hint="default"/>
        <w:b w:val="0"/>
      </w:rPr>
    </w:lvl>
    <w:lvl w:ilvl="1">
      <w:start w:val="1"/>
      <w:numFmt w:val="bullet"/>
      <w:lvlText w:val=""/>
      <w:lvlJc w:val="left"/>
      <w:pPr>
        <w:ind w:left="720" w:hanging="360"/>
      </w:pPr>
      <w:rPr>
        <w:rFonts w:ascii="Symbol" w:hAnsi="Symbol" w:hint="default"/>
      </w:rPr>
    </w:lvl>
    <w:lvl w:ilvl="2">
      <w:start w:val="1"/>
      <w:numFmt w:val="bullet"/>
      <w:lvlText w:val=""/>
      <w:lvlJc w:val="left"/>
      <w:pPr>
        <w:ind w:left="1514"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81693242">
    <w:abstractNumId w:val="17"/>
  </w:num>
  <w:num w:numId="2" w16cid:durableId="1694109277">
    <w:abstractNumId w:val="18"/>
  </w:num>
  <w:num w:numId="3" w16cid:durableId="1963421841">
    <w:abstractNumId w:val="11"/>
  </w:num>
  <w:num w:numId="4" w16cid:durableId="1291518945">
    <w:abstractNumId w:val="26"/>
  </w:num>
  <w:num w:numId="5" w16cid:durableId="432554466">
    <w:abstractNumId w:val="16"/>
  </w:num>
  <w:num w:numId="6" w16cid:durableId="645207572">
    <w:abstractNumId w:val="13"/>
  </w:num>
  <w:num w:numId="7" w16cid:durableId="937756108">
    <w:abstractNumId w:val="7"/>
  </w:num>
  <w:num w:numId="8" w16cid:durableId="1002781557">
    <w:abstractNumId w:val="24"/>
  </w:num>
  <w:num w:numId="9" w16cid:durableId="623736126">
    <w:abstractNumId w:val="8"/>
  </w:num>
  <w:num w:numId="10" w16cid:durableId="1357778814">
    <w:abstractNumId w:val="3"/>
  </w:num>
  <w:num w:numId="11" w16cid:durableId="1656185911">
    <w:abstractNumId w:val="1"/>
  </w:num>
  <w:num w:numId="12" w16cid:durableId="718939106">
    <w:abstractNumId w:val="22"/>
  </w:num>
  <w:num w:numId="13" w16cid:durableId="598686587">
    <w:abstractNumId w:val="9"/>
  </w:num>
  <w:num w:numId="14" w16cid:durableId="9913370">
    <w:abstractNumId w:val="21"/>
  </w:num>
  <w:num w:numId="15" w16cid:durableId="1753502011">
    <w:abstractNumId w:val="19"/>
  </w:num>
  <w:num w:numId="16" w16cid:durableId="1490437938">
    <w:abstractNumId w:val="4"/>
  </w:num>
  <w:num w:numId="17" w16cid:durableId="287708712">
    <w:abstractNumId w:val="5"/>
  </w:num>
  <w:num w:numId="18" w16cid:durableId="2120368869">
    <w:abstractNumId w:val="20"/>
  </w:num>
  <w:num w:numId="19" w16cid:durableId="1017346777">
    <w:abstractNumId w:val="14"/>
  </w:num>
  <w:num w:numId="20" w16cid:durableId="1930234096">
    <w:abstractNumId w:val="2"/>
  </w:num>
  <w:num w:numId="21" w16cid:durableId="326053146">
    <w:abstractNumId w:val="25"/>
  </w:num>
  <w:num w:numId="22" w16cid:durableId="733626876">
    <w:abstractNumId w:val="12"/>
  </w:num>
  <w:num w:numId="23" w16cid:durableId="1363480967">
    <w:abstractNumId w:val="10"/>
  </w:num>
  <w:num w:numId="24" w16cid:durableId="1706713118">
    <w:abstractNumId w:val="0"/>
  </w:num>
  <w:num w:numId="25" w16cid:durableId="649600472">
    <w:abstractNumId w:val="23"/>
  </w:num>
  <w:num w:numId="26" w16cid:durableId="800419616">
    <w:abstractNumId w:val="15"/>
  </w:num>
  <w:num w:numId="27" w16cid:durableId="173172737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D9F"/>
    <w:rsid w:val="00000495"/>
    <w:rsid w:val="00000D6D"/>
    <w:rsid w:val="00000E41"/>
    <w:rsid w:val="00001FD1"/>
    <w:rsid w:val="00002EE0"/>
    <w:rsid w:val="000032EE"/>
    <w:rsid w:val="00003D5F"/>
    <w:rsid w:val="00005291"/>
    <w:rsid w:val="00006D1A"/>
    <w:rsid w:val="00011007"/>
    <w:rsid w:val="00011DA7"/>
    <w:rsid w:val="00012B60"/>
    <w:rsid w:val="00017598"/>
    <w:rsid w:val="00017724"/>
    <w:rsid w:val="000203D7"/>
    <w:rsid w:val="00020945"/>
    <w:rsid w:val="00022DE6"/>
    <w:rsid w:val="00022F73"/>
    <w:rsid w:val="000231A1"/>
    <w:rsid w:val="00023B24"/>
    <w:rsid w:val="00023C3A"/>
    <w:rsid w:val="00024B16"/>
    <w:rsid w:val="00024EF7"/>
    <w:rsid w:val="00027450"/>
    <w:rsid w:val="000274B3"/>
    <w:rsid w:val="000279E6"/>
    <w:rsid w:val="000300CE"/>
    <w:rsid w:val="000304A4"/>
    <w:rsid w:val="00032233"/>
    <w:rsid w:val="000347DB"/>
    <w:rsid w:val="000370EA"/>
    <w:rsid w:val="00040E38"/>
    <w:rsid w:val="0004474F"/>
    <w:rsid w:val="000448D7"/>
    <w:rsid w:val="00044A30"/>
    <w:rsid w:val="00044B4D"/>
    <w:rsid w:val="00044FCC"/>
    <w:rsid w:val="0004596D"/>
    <w:rsid w:val="00047053"/>
    <w:rsid w:val="0004776A"/>
    <w:rsid w:val="0005058C"/>
    <w:rsid w:val="000509F7"/>
    <w:rsid w:val="00051B4A"/>
    <w:rsid w:val="00054627"/>
    <w:rsid w:val="000549BD"/>
    <w:rsid w:val="00054FD8"/>
    <w:rsid w:val="00055B9C"/>
    <w:rsid w:val="00057274"/>
    <w:rsid w:val="0005739E"/>
    <w:rsid w:val="00060444"/>
    <w:rsid w:val="00060E79"/>
    <w:rsid w:val="000613F7"/>
    <w:rsid w:val="0006229B"/>
    <w:rsid w:val="00065B21"/>
    <w:rsid w:val="00065E2C"/>
    <w:rsid w:val="00066A86"/>
    <w:rsid w:val="00066C74"/>
    <w:rsid w:val="00070754"/>
    <w:rsid w:val="00070C77"/>
    <w:rsid w:val="00070DA0"/>
    <w:rsid w:val="0007187C"/>
    <w:rsid w:val="00072A41"/>
    <w:rsid w:val="0007389B"/>
    <w:rsid w:val="00074E45"/>
    <w:rsid w:val="000765DC"/>
    <w:rsid w:val="00080A3E"/>
    <w:rsid w:val="00080F53"/>
    <w:rsid w:val="00082265"/>
    <w:rsid w:val="00083492"/>
    <w:rsid w:val="0008487B"/>
    <w:rsid w:val="00084D53"/>
    <w:rsid w:val="0008611C"/>
    <w:rsid w:val="00087B9B"/>
    <w:rsid w:val="00090881"/>
    <w:rsid w:val="00090AE0"/>
    <w:rsid w:val="00090CD8"/>
    <w:rsid w:val="00091A90"/>
    <w:rsid w:val="00093D24"/>
    <w:rsid w:val="00095120"/>
    <w:rsid w:val="0009598B"/>
    <w:rsid w:val="000967B4"/>
    <w:rsid w:val="0009691C"/>
    <w:rsid w:val="00097F21"/>
    <w:rsid w:val="000A0958"/>
    <w:rsid w:val="000A2448"/>
    <w:rsid w:val="000A2E20"/>
    <w:rsid w:val="000A3B44"/>
    <w:rsid w:val="000A405C"/>
    <w:rsid w:val="000A76E7"/>
    <w:rsid w:val="000A78FE"/>
    <w:rsid w:val="000B0E41"/>
    <w:rsid w:val="000B4216"/>
    <w:rsid w:val="000B6047"/>
    <w:rsid w:val="000B6227"/>
    <w:rsid w:val="000B6996"/>
    <w:rsid w:val="000C0FBA"/>
    <w:rsid w:val="000C1981"/>
    <w:rsid w:val="000C1C3F"/>
    <w:rsid w:val="000C3268"/>
    <w:rsid w:val="000C3832"/>
    <w:rsid w:val="000C399C"/>
    <w:rsid w:val="000C472F"/>
    <w:rsid w:val="000C4F8E"/>
    <w:rsid w:val="000C5E50"/>
    <w:rsid w:val="000C6236"/>
    <w:rsid w:val="000C77C6"/>
    <w:rsid w:val="000D0BAA"/>
    <w:rsid w:val="000D14D2"/>
    <w:rsid w:val="000D18BE"/>
    <w:rsid w:val="000D1C0D"/>
    <w:rsid w:val="000D32C8"/>
    <w:rsid w:val="000D4F00"/>
    <w:rsid w:val="000D557F"/>
    <w:rsid w:val="000D56BD"/>
    <w:rsid w:val="000D57CB"/>
    <w:rsid w:val="000D5FBA"/>
    <w:rsid w:val="000D6C3C"/>
    <w:rsid w:val="000E0572"/>
    <w:rsid w:val="000E3456"/>
    <w:rsid w:val="000E39FE"/>
    <w:rsid w:val="000E3F4C"/>
    <w:rsid w:val="000E459C"/>
    <w:rsid w:val="000E4758"/>
    <w:rsid w:val="000E5305"/>
    <w:rsid w:val="000E577D"/>
    <w:rsid w:val="000E5FCF"/>
    <w:rsid w:val="000E7A35"/>
    <w:rsid w:val="000F1BBC"/>
    <w:rsid w:val="000F2C09"/>
    <w:rsid w:val="000F3FFA"/>
    <w:rsid w:val="000F63C2"/>
    <w:rsid w:val="000F6E75"/>
    <w:rsid w:val="000F72DC"/>
    <w:rsid w:val="000F737B"/>
    <w:rsid w:val="000F738D"/>
    <w:rsid w:val="000F7771"/>
    <w:rsid w:val="001007E1"/>
    <w:rsid w:val="0010191B"/>
    <w:rsid w:val="001029BC"/>
    <w:rsid w:val="001038EB"/>
    <w:rsid w:val="00104095"/>
    <w:rsid w:val="00107CF6"/>
    <w:rsid w:val="0011026E"/>
    <w:rsid w:val="0011085E"/>
    <w:rsid w:val="00111546"/>
    <w:rsid w:val="00112597"/>
    <w:rsid w:val="00113839"/>
    <w:rsid w:val="001147D1"/>
    <w:rsid w:val="001161A3"/>
    <w:rsid w:val="00116904"/>
    <w:rsid w:val="00116BC1"/>
    <w:rsid w:val="00117E60"/>
    <w:rsid w:val="00120023"/>
    <w:rsid w:val="00120F43"/>
    <w:rsid w:val="001221CC"/>
    <w:rsid w:val="00122927"/>
    <w:rsid w:val="0012531A"/>
    <w:rsid w:val="001257A0"/>
    <w:rsid w:val="00125ABF"/>
    <w:rsid w:val="001275AB"/>
    <w:rsid w:val="00127E76"/>
    <w:rsid w:val="00130D18"/>
    <w:rsid w:val="00130E7D"/>
    <w:rsid w:val="00131152"/>
    <w:rsid w:val="001329AB"/>
    <w:rsid w:val="001331BC"/>
    <w:rsid w:val="0013455C"/>
    <w:rsid w:val="0013479F"/>
    <w:rsid w:val="00135DBF"/>
    <w:rsid w:val="00137B20"/>
    <w:rsid w:val="0014118A"/>
    <w:rsid w:val="001416CA"/>
    <w:rsid w:val="00143019"/>
    <w:rsid w:val="00143BE9"/>
    <w:rsid w:val="001442B1"/>
    <w:rsid w:val="001447E2"/>
    <w:rsid w:val="00145932"/>
    <w:rsid w:val="00145E52"/>
    <w:rsid w:val="0014656E"/>
    <w:rsid w:val="00146626"/>
    <w:rsid w:val="00146C8D"/>
    <w:rsid w:val="001538A4"/>
    <w:rsid w:val="00154405"/>
    <w:rsid w:val="00157980"/>
    <w:rsid w:val="0016087B"/>
    <w:rsid w:val="00161059"/>
    <w:rsid w:val="001619AC"/>
    <w:rsid w:val="00162329"/>
    <w:rsid w:val="0016259B"/>
    <w:rsid w:val="00163877"/>
    <w:rsid w:val="00164649"/>
    <w:rsid w:val="00165336"/>
    <w:rsid w:val="001657AA"/>
    <w:rsid w:val="001667FC"/>
    <w:rsid w:val="0016723C"/>
    <w:rsid w:val="00167334"/>
    <w:rsid w:val="00167557"/>
    <w:rsid w:val="001678E0"/>
    <w:rsid w:val="00167D99"/>
    <w:rsid w:val="0017051E"/>
    <w:rsid w:val="00171452"/>
    <w:rsid w:val="00171AF4"/>
    <w:rsid w:val="00171B7C"/>
    <w:rsid w:val="00174701"/>
    <w:rsid w:val="00174A01"/>
    <w:rsid w:val="00175371"/>
    <w:rsid w:val="00175885"/>
    <w:rsid w:val="0017668D"/>
    <w:rsid w:val="00181C13"/>
    <w:rsid w:val="00181D09"/>
    <w:rsid w:val="00182C5C"/>
    <w:rsid w:val="00184542"/>
    <w:rsid w:val="0018480E"/>
    <w:rsid w:val="00184B1B"/>
    <w:rsid w:val="00185321"/>
    <w:rsid w:val="001857F1"/>
    <w:rsid w:val="001906A9"/>
    <w:rsid w:val="001912C2"/>
    <w:rsid w:val="00191493"/>
    <w:rsid w:val="0019179A"/>
    <w:rsid w:val="00192113"/>
    <w:rsid w:val="00192C1E"/>
    <w:rsid w:val="0019388B"/>
    <w:rsid w:val="0019402B"/>
    <w:rsid w:val="0019404D"/>
    <w:rsid w:val="00194E88"/>
    <w:rsid w:val="00195AB0"/>
    <w:rsid w:val="001961EA"/>
    <w:rsid w:val="00196B1F"/>
    <w:rsid w:val="0019771B"/>
    <w:rsid w:val="001A00A3"/>
    <w:rsid w:val="001A0381"/>
    <w:rsid w:val="001A0CCD"/>
    <w:rsid w:val="001A1DCA"/>
    <w:rsid w:val="001A4926"/>
    <w:rsid w:val="001A633C"/>
    <w:rsid w:val="001A6942"/>
    <w:rsid w:val="001A7769"/>
    <w:rsid w:val="001B119F"/>
    <w:rsid w:val="001B21BE"/>
    <w:rsid w:val="001B2F13"/>
    <w:rsid w:val="001B3268"/>
    <w:rsid w:val="001B326D"/>
    <w:rsid w:val="001B7B30"/>
    <w:rsid w:val="001C0243"/>
    <w:rsid w:val="001C0E1A"/>
    <w:rsid w:val="001C10F1"/>
    <w:rsid w:val="001C18C4"/>
    <w:rsid w:val="001C1C54"/>
    <w:rsid w:val="001C1FB0"/>
    <w:rsid w:val="001C4EE4"/>
    <w:rsid w:val="001C511B"/>
    <w:rsid w:val="001C5E30"/>
    <w:rsid w:val="001C79EB"/>
    <w:rsid w:val="001D1DD0"/>
    <w:rsid w:val="001D20AA"/>
    <w:rsid w:val="001D26E8"/>
    <w:rsid w:val="001D30E9"/>
    <w:rsid w:val="001D31C8"/>
    <w:rsid w:val="001D48F1"/>
    <w:rsid w:val="001D58CE"/>
    <w:rsid w:val="001D5952"/>
    <w:rsid w:val="001E0C37"/>
    <w:rsid w:val="001E28C4"/>
    <w:rsid w:val="001E33A5"/>
    <w:rsid w:val="001E34AB"/>
    <w:rsid w:val="001E3710"/>
    <w:rsid w:val="001E3A96"/>
    <w:rsid w:val="001F1666"/>
    <w:rsid w:val="001F26E9"/>
    <w:rsid w:val="001F31D8"/>
    <w:rsid w:val="001F3770"/>
    <w:rsid w:val="001F4752"/>
    <w:rsid w:val="001F6A8E"/>
    <w:rsid w:val="001F7A04"/>
    <w:rsid w:val="001F7E3F"/>
    <w:rsid w:val="001F7ED3"/>
    <w:rsid w:val="001F7FFB"/>
    <w:rsid w:val="0020007B"/>
    <w:rsid w:val="00200E36"/>
    <w:rsid w:val="00202E34"/>
    <w:rsid w:val="002040E3"/>
    <w:rsid w:val="00204282"/>
    <w:rsid w:val="0020494A"/>
    <w:rsid w:val="00206837"/>
    <w:rsid w:val="00207355"/>
    <w:rsid w:val="002109D0"/>
    <w:rsid w:val="002114A4"/>
    <w:rsid w:val="00213652"/>
    <w:rsid w:val="00213B4E"/>
    <w:rsid w:val="00213BD6"/>
    <w:rsid w:val="002140FF"/>
    <w:rsid w:val="00220DF4"/>
    <w:rsid w:val="002230C3"/>
    <w:rsid w:val="00227328"/>
    <w:rsid w:val="0022767D"/>
    <w:rsid w:val="00227E3F"/>
    <w:rsid w:val="002304AE"/>
    <w:rsid w:val="00233092"/>
    <w:rsid w:val="002361D1"/>
    <w:rsid w:val="00236685"/>
    <w:rsid w:val="0023700E"/>
    <w:rsid w:val="002408E9"/>
    <w:rsid w:val="0024154A"/>
    <w:rsid w:val="00242062"/>
    <w:rsid w:val="002421F9"/>
    <w:rsid w:val="0024235F"/>
    <w:rsid w:val="0024397D"/>
    <w:rsid w:val="0024398A"/>
    <w:rsid w:val="00243A7C"/>
    <w:rsid w:val="00244338"/>
    <w:rsid w:val="00244D8B"/>
    <w:rsid w:val="00245234"/>
    <w:rsid w:val="002470C6"/>
    <w:rsid w:val="002500CE"/>
    <w:rsid w:val="00251BDF"/>
    <w:rsid w:val="00253CF1"/>
    <w:rsid w:val="00254A5B"/>
    <w:rsid w:val="00255DA5"/>
    <w:rsid w:val="00256CBB"/>
    <w:rsid w:val="00257779"/>
    <w:rsid w:val="0026127A"/>
    <w:rsid w:val="0026210B"/>
    <w:rsid w:val="00262B54"/>
    <w:rsid w:val="00262D14"/>
    <w:rsid w:val="00264073"/>
    <w:rsid w:val="0026496F"/>
    <w:rsid w:val="00265002"/>
    <w:rsid w:val="00265722"/>
    <w:rsid w:val="002657FF"/>
    <w:rsid w:val="002711C4"/>
    <w:rsid w:val="00271518"/>
    <w:rsid w:val="002722F6"/>
    <w:rsid w:val="00272669"/>
    <w:rsid w:val="00273707"/>
    <w:rsid w:val="002740DD"/>
    <w:rsid w:val="0027460A"/>
    <w:rsid w:val="00274DA8"/>
    <w:rsid w:val="00274DD8"/>
    <w:rsid w:val="00275E7B"/>
    <w:rsid w:val="00276272"/>
    <w:rsid w:val="00277E81"/>
    <w:rsid w:val="00280EE8"/>
    <w:rsid w:val="002812C4"/>
    <w:rsid w:val="00282123"/>
    <w:rsid w:val="00282D10"/>
    <w:rsid w:val="00283401"/>
    <w:rsid w:val="00283B3E"/>
    <w:rsid w:val="00285987"/>
    <w:rsid w:val="00290A93"/>
    <w:rsid w:val="0029327E"/>
    <w:rsid w:val="00293F9E"/>
    <w:rsid w:val="002957F4"/>
    <w:rsid w:val="00296611"/>
    <w:rsid w:val="00296F60"/>
    <w:rsid w:val="00297949"/>
    <w:rsid w:val="002A3772"/>
    <w:rsid w:val="002A5639"/>
    <w:rsid w:val="002A6902"/>
    <w:rsid w:val="002A78D9"/>
    <w:rsid w:val="002B0320"/>
    <w:rsid w:val="002B4A0E"/>
    <w:rsid w:val="002B4FBE"/>
    <w:rsid w:val="002B600D"/>
    <w:rsid w:val="002C1D21"/>
    <w:rsid w:val="002C2327"/>
    <w:rsid w:val="002C34CC"/>
    <w:rsid w:val="002C4CF2"/>
    <w:rsid w:val="002C55A2"/>
    <w:rsid w:val="002C5F95"/>
    <w:rsid w:val="002C7529"/>
    <w:rsid w:val="002C78E5"/>
    <w:rsid w:val="002C7E06"/>
    <w:rsid w:val="002D0232"/>
    <w:rsid w:val="002D16C8"/>
    <w:rsid w:val="002D26CE"/>
    <w:rsid w:val="002D27E3"/>
    <w:rsid w:val="002D2A0B"/>
    <w:rsid w:val="002D3A1E"/>
    <w:rsid w:val="002D5B1C"/>
    <w:rsid w:val="002D62BC"/>
    <w:rsid w:val="002D6D4E"/>
    <w:rsid w:val="002D6DA0"/>
    <w:rsid w:val="002D6E9A"/>
    <w:rsid w:val="002E0732"/>
    <w:rsid w:val="002E167F"/>
    <w:rsid w:val="002E20DD"/>
    <w:rsid w:val="002E271B"/>
    <w:rsid w:val="002E2F4E"/>
    <w:rsid w:val="002E3384"/>
    <w:rsid w:val="002E437E"/>
    <w:rsid w:val="002E4DAB"/>
    <w:rsid w:val="002E5CF6"/>
    <w:rsid w:val="002E5D1F"/>
    <w:rsid w:val="002E67FF"/>
    <w:rsid w:val="002E691A"/>
    <w:rsid w:val="002E6A1A"/>
    <w:rsid w:val="002E7DE4"/>
    <w:rsid w:val="002F0707"/>
    <w:rsid w:val="002F2C9B"/>
    <w:rsid w:val="002F3E18"/>
    <w:rsid w:val="002F5685"/>
    <w:rsid w:val="002F591B"/>
    <w:rsid w:val="002F6FC3"/>
    <w:rsid w:val="003005AD"/>
    <w:rsid w:val="00301170"/>
    <w:rsid w:val="003011F2"/>
    <w:rsid w:val="00303EC3"/>
    <w:rsid w:val="003052CD"/>
    <w:rsid w:val="003056B0"/>
    <w:rsid w:val="00305766"/>
    <w:rsid w:val="003105E3"/>
    <w:rsid w:val="00310A65"/>
    <w:rsid w:val="003115B2"/>
    <w:rsid w:val="00311996"/>
    <w:rsid w:val="00311EA6"/>
    <w:rsid w:val="0031229A"/>
    <w:rsid w:val="0031247D"/>
    <w:rsid w:val="00312B5B"/>
    <w:rsid w:val="00313022"/>
    <w:rsid w:val="00313921"/>
    <w:rsid w:val="00313A05"/>
    <w:rsid w:val="00314160"/>
    <w:rsid w:val="003145A5"/>
    <w:rsid w:val="0031474C"/>
    <w:rsid w:val="00315688"/>
    <w:rsid w:val="00316386"/>
    <w:rsid w:val="00316869"/>
    <w:rsid w:val="003234BB"/>
    <w:rsid w:val="00323907"/>
    <w:rsid w:val="00324221"/>
    <w:rsid w:val="00324DFD"/>
    <w:rsid w:val="00325050"/>
    <w:rsid w:val="0032673B"/>
    <w:rsid w:val="003274A9"/>
    <w:rsid w:val="00327A71"/>
    <w:rsid w:val="003302D0"/>
    <w:rsid w:val="00331F4E"/>
    <w:rsid w:val="00332097"/>
    <w:rsid w:val="003326F7"/>
    <w:rsid w:val="00333481"/>
    <w:rsid w:val="00333912"/>
    <w:rsid w:val="00334330"/>
    <w:rsid w:val="0033479D"/>
    <w:rsid w:val="0033497A"/>
    <w:rsid w:val="003350C0"/>
    <w:rsid w:val="00335812"/>
    <w:rsid w:val="003364A1"/>
    <w:rsid w:val="003365D2"/>
    <w:rsid w:val="003369B4"/>
    <w:rsid w:val="00337CF3"/>
    <w:rsid w:val="003403AD"/>
    <w:rsid w:val="00340408"/>
    <w:rsid w:val="00340B0B"/>
    <w:rsid w:val="00342BE4"/>
    <w:rsid w:val="003431AE"/>
    <w:rsid w:val="00343F04"/>
    <w:rsid w:val="003455C5"/>
    <w:rsid w:val="00346F57"/>
    <w:rsid w:val="0034723C"/>
    <w:rsid w:val="0034775D"/>
    <w:rsid w:val="00347FAE"/>
    <w:rsid w:val="0035252F"/>
    <w:rsid w:val="00353913"/>
    <w:rsid w:val="00354B70"/>
    <w:rsid w:val="00354D25"/>
    <w:rsid w:val="00354DAB"/>
    <w:rsid w:val="003552FD"/>
    <w:rsid w:val="00355D98"/>
    <w:rsid w:val="003562A0"/>
    <w:rsid w:val="00357B6E"/>
    <w:rsid w:val="003600B4"/>
    <w:rsid w:val="00360A62"/>
    <w:rsid w:val="0036121E"/>
    <w:rsid w:val="0036280F"/>
    <w:rsid w:val="003628D9"/>
    <w:rsid w:val="00362E6B"/>
    <w:rsid w:val="003632BA"/>
    <w:rsid w:val="00363E5B"/>
    <w:rsid w:val="003644EE"/>
    <w:rsid w:val="00364956"/>
    <w:rsid w:val="0036631A"/>
    <w:rsid w:val="003676A3"/>
    <w:rsid w:val="00367C7C"/>
    <w:rsid w:val="00367D0D"/>
    <w:rsid w:val="00367D15"/>
    <w:rsid w:val="00370554"/>
    <w:rsid w:val="0037068B"/>
    <w:rsid w:val="00371293"/>
    <w:rsid w:val="00371D0A"/>
    <w:rsid w:val="003730F9"/>
    <w:rsid w:val="00374507"/>
    <w:rsid w:val="00374525"/>
    <w:rsid w:val="00374914"/>
    <w:rsid w:val="00374975"/>
    <w:rsid w:val="00374D9F"/>
    <w:rsid w:val="00374DAF"/>
    <w:rsid w:val="00374E50"/>
    <w:rsid w:val="003759AD"/>
    <w:rsid w:val="003760BC"/>
    <w:rsid w:val="00377E2F"/>
    <w:rsid w:val="0038110A"/>
    <w:rsid w:val="00384735"/>
    <w:rsid w:val="00384CE8"/>
    <w:rsid w:val="00385773"/>
    <w:rsid w:val="00385873"/>
    <w:rsid w:val="0039074D"/>
    <w:rsid w:val="00390E59"/>
    <w:rsid w:val="00390E9F"/>
    <w:rsid w:val="00391CBE"/>
    <w:rsid w:val="00392964"/>
    <w:rsid w:val="00392B23"/>
    <w:rsid w:val="00394309"/>
    <w:rsid w:val="0039454F"/>
    <w:rsid w:val="00394F34"/>
    <w:rsid w:val="0039504A"/>
    <w:rsid w:val="00396088"/>
    <w:rsid w:val="003966D1"/>
    <w:rsid w:val="003A0B01"/>
    <w:rsid w:val="003A106B"/>
    <w:rsid w:val="003A2239"/>
    <w:rsid w:val="003A23C6"/>
    <w:rsid w:val="003A2F2A"/>
    <w:rsid w:val="003A45D6"/>
    <w:rsid w:val="003A4792"/>
    <w:rsid w:val="003A540F"/>
    <w:rsid w:val="003A5872"/>
    <w:rsid w:val="003A6650"/>
    <w:rsid w:val="003B0FE4"/>
    <w:rsid w:val="003B1443"/>
    <w:rsid w:val="003B35D7"/>
    <w:rsid w:val="003B4E68"/>
    <w:rsid w:val="003B580C"/>
    <w:rsid w:val="003B764B"/>
    <w:rsid w:val="003B7772"/>
    <w:rsid w:val="003C09E4"/>
    <w:rsid w:val="003C0C3F"/>
    <w:rsid w:val="003C3090"/>
    <w:rsid w:val="003C35B7"/>
    <w:rsid w:val="003C4083"/>
    <w:rsid w:val="003D0BA5"/>
    <w:rsid w:val="003D0CBE"/>
    <w:rsid w:val="003D0F7B"/>
    <w:rsid w:val="003D1AC1"/>
    <w:rsid w:val="003D1C3C"/>
    <w:rsid w:val="003D2520"/>
    <w:rsid w:val="003D3E15"/>
    <w:rsid w:val="003D53BF"/>
    <w:rsid w:val="003D6945"/>
    <w:rsid w:val="003E0147"/>
    <w:rsid w:val="003E0BB9"/>
    <w:rsid w:val="003E1CC0"/>
    <w:rsid w:val="003E337F"/>
    <w:rsid w:val="003E455E"/>
    <w:rsid w:val="003E4BFD"/>
    <w:rsid w:val="003E5C93"/>
    <w:rsid w:val="003E5D14"/>
    <w:rsid w:val="003E6385"/>
    <w:rsid w:val="003E6496"/>
    <w:rsid w:val="003E682F"/>
    <w:rsid w:val="003E691F"/>
    <w:rsid w:val="003F1527"/>
    <w:rsid w:val="003F1A61"/>
    <w:rsid w:val="003F28A5"/>
    <w:rsid w:val="003F2B48"/>
    <w:rsid w:val="003F2D49"/>
    <w:rsid w:val="003F2EB8"/>
    <w:rsid w:val="003F41B2"/>
    <w:rsid w:val="003F4A39"/>
    <w:rsid w:val="003F50C4"/>
    <w:rsid w:val="003F513F"/>
    <w:rsid w:val="003F5294"/>
    <w:rsid w:val="003F6ACA"/>
    <w:rsid w:val="003F75B7"/>
    <w:rsid w:val="00400A69"/>
    <w:rsid w:val="00404AA1"/>
    <w:rsid w:val="00405B71"/>
    <w:rsid w:val="00407997"/>
    <w:rsid w:val="00407A8F"/>
    <w:rsid w:val="00412824"/>
    <w:rsid w:val="00412FE4"/>
    <w:rsid w:val="00412FFF"/>
    <w:rsid w:val="00413A53"/>
    <w:rsid w:val="00413A60"/>
    <w:rsid w:val="00414145"/>
    <w:rsid w:val="004159D0"/>
    <w:rsid w:val="00416212"/>
    <w:rsid w:val="00416999"/>
    <w:rsid w:val="00416B95"/>
    <w:rsid w:val="00416C58"/>
    <w:rsid w:val="00420014"/>
    <w:rsid w:val="0042034C"/>
    <w:rsid w:val="00421741"/>
    <w:rsid w:val="00422A9A"/>
    <w:rsid w:val="004232B1"/>
    <w:rsid w:val="00424BF0"/>
    <w:rsid w:val="00426172"/>
    <w:rsid w:val="00426200"/>
    <w:rsid w:val="004300EA"/>
    <w:rsid w:val="004321FA"/>
    <w:rsid w:val="00432C1B"/>
    <w:rsid w:val="00433516"/>
    <w:rsid w:val="00435263"/>
    <w:rsid w:val="004356B2"/>
    <w:rsid w:val="00435991"/>
    <w:rsid w:val="004364E9"/>
    <w:rsid w:val="004422D2"/>
    <w:rsid w:val="00442DC7"/>
    <w:rsid w:val="00445127"/>
    <w:rsid w:val="0044542C"/>
    <w:rsid w:val="00445CD5"/>
    <w:rsid w:val="004464F8"/>
    <w:rsid w:val="00446643"/>
    <w:rsid w:val="00446E17"/>
    <w:rsid w:val="00447031"/>
    <w:rsid w:val="004506B5"/>
    <w:rsid w:val="00451139"/>
    <w:rsid w:val="004517A3"/>
    <w:rsid w:val="0045299A"/>
    <w:rsid w:val="00452E54"/>
    <w:rsid w:val="00453142"/>
    <w:rsid w:val="004536AF"/>
    <w:rsid w:val="00453FE7"/>
    <w:rsid w:val="004549B4"/>
    <w:rsid w:val="004551F4"/>
    <w:rsid w:val="004562D5"/>
    <w:rsid w:val="004570B3"/>
    <w:rsid w:val="0045717C"/>
    <w:rsid w:val="00461286"/>
    <w:rsid w:val="00463139"/>
    <w:rsid w:val="00463167"/>
    <w:rsid w:val="004635B8"/>
    <w:rsid w:val="00465EE6"/>
    <w:rsid w:val="00470B7F"/>
    <w:rsid w:val="00471104"/>
    <w:rsid w:val="0047188A"/>
    <w:rsid w:val="00472581"/>
    <w:rsid w:val="0047412B"/>
    <w:rsid w:val="0047629F"/>
    <w:rsid w:val="00477439"/>
    <w:rsid w:val="00477730"/>
    <w:rsid w:val="00481681"/>
    <w:rsid w:val="00482631"/>
    <w:rsid w:val="0048349D"/>
    <w:rsid w:val="00484D88"/>
    <w:rsid w:val="00484FC1"/>
    <w:rsid w:val="00486A50"/>
    <w:rsid w:val="00487020"/>
    <w:rsid w:val="00487534"/>
    <w:rsid w:val="0049026E"/>
    <w:rsid w:val="00491AEA"/>
    <w:rsid w:val="004925AE"/>
    <w:rsid w:val="00493095"/>
    <w:rsid w:val="00493A36"/>
    <w:rsid w:val="004943CC"/>
    <w:rsid w:val="004959F5"/>
    <w:rsid w:val="00496DC2"/>
    <w:rsid w:val="0049704C"/>
    <w:rsid w:val="00497BAD"/>
    <w:rsid w:val="004A14D8"/>
    <w:rsid w:val="004A216E"/>
    <w:rsid w:val="004A3F62"/>
    <w:rsid w:val="004A53B8"/>
    <w:rsid w:val="004A685A"/>
    <w:rsid w:val="004A734D"/>
    <w:rsid w:val="004B275B"/>
    <w:rsid w:val="004B2808"/>
    <w:rsid w:val="004B2D13"/>
    <w:rsid w:val="004B5C42"/>
    <w:rsid w:val="004B686E"/>
    <w:rsid w:val="004B6978"/>
    <w:rsid w:val="004B79C6"/>
    <w:rsid w:val="004C0427"/>
    <w:rsid w:val="004C0904"/>
    <w:rsid w:val="004C31AD"/>
    <w:rsid w:val="004C4333"/>
    <w:rsid w:val="004C46EC"/>
    <w:rsid w:val="004C55E3"/>
    <w:rsid w:val="004C597C"/>
    <w:rsid w:val="004C5A47"/>
    <w:rsid w:val="004C64E4"/>
    <w:rsid w:val="004C6D85"/>
    <w:rsid w:val="004D0C2A"/>
    <w:rsid w:val="004D0E92"/>
    <w:rsid w:val="004D0F0A"/>
    <w:rsid w:val="004D1B5A"/>
    <w:rsid w:val="004D1B61"/>
    <w:rsid w:val="004D3A46"/>
    <w:rsid w:val="004D3DD0"/>
    <w:rsid w:val="004D54EB"/>
    <w:rsid w:val="004D7639"/>
    <w:rsid w:val="004D7702"/>
    <w:rsid w:val="004D77DB"/>
    <w:rsid w:val="004E1BA8"/>
    <w:rsid w:val="004E2635"/>
    <w:rsid w:val="004E401B"/>
    <w:rsid w:val="004E4895"/>
    <w:rsid w:val="004E49BE"/>
    <w:rsid w:val="004E4EEF"/>
    <w:rsid w:val="004E5104"/>
    <w:rsid w:val="004F0306"/>
    <w:rsid w:val="004F0357"/>
    <w:rsid w:val="004F2E5B"/>
    <w:rsid w:val="004F41B9"/>
    <w:rsid w:val="004F48B2"/>
    <w:rsid w:val="004F4D27"/>
    <w:rsid w:val="004F56E7"/>
    <w:rsid w:val="004F7063"/>
    <w:rsid w:val="004F73FF"/>
    <w:rsid w:val="004F7E60"/>
    <w:rsid w:val="00500D57"/>
    <w:rsid w:val="00501070"/>
    <w:rsid w:val="00502106"/>
    <w:rsid w:val="00502721"/>
    <w:rsid w:val="0050338F"/>
    <w:rsid w:val="00505846"/>
    <w:rsid w:val="00505A0E"/>
    <w:rsid w:val="005062B8"/>
    <w:rsid w:val="0050745F"/>
    <w:rsid w:val="005079DF"/>
    <w:rsid w:val="005113E0"/>
    <w:rsid w:val="005115BC"/>
    <w:rsid w:val="00512394"/>
    <w:rsid w:val="00512902"/>
    <w:rsid w:val="005129B1"/>
    <w:rsid w:val="00512E2B"/>
    <w:rsid w:val="00513267"/>
    <w:rsid w:val="005147F5"/>
    <w:rsid w:val="0051627D"/>
    <w:rsid w:val="005164B1"/>
    <w:rsid w:val="00517244"/>
    <w:rsid w:val="005204F4"/>
    <w:rsid w:val="005209CD"/>
    <w:rsid w:val="0052466F"/>
    <w:rsid w:val="005255CB"/>
    <w:rsid w:val="00525C3B"/>
    <w:rsid w:val="00526B6A"/>
    <w:rsid w:val="005275AF"/>
    <w:rsid w:val="00530A9B"/>
    <w:rsid w:val="005310F9"/>
    <w:rsid w:val="00531FA6"/>
    <w:rsid w:val="00534FAF"/>
    <w:rsid w:val="00535792"/>
    <w:rsid w:val="00535D5B"/>
    <w:rsid w:val="00536EC1"/>
    <w:rsid w:val="0054009A"/>
    <w:rsid w:val="00540258"/>
    <w:rsid w:val="005415F9"/>
    <w:rsid w:val="00541DAB"/>
    <w:rsid w:val="00542A5F"/>
    <w:rsid w:val="00544133"/>
    <w:rsid w:val="005450F1"/>
    <w:rsid w:val="00545BC2"/>
    <w:rsid w:val="0054624E"/>
    <w:rsid w:val="00546294"/>
    <w:rsid w:val="00546469"/>
    <w:rsid w:val="0054651A"/>
    <w:rsid w:val="00546F53"/>
    <w:rsid w:val="00550621"/>
    <w:rsid w:val="00552129"/>
    <w:rsid w:val="00554DDC"/>
    <w:rsid w:val="005606C7"/>
    <w:rsid w:val="00560CBE"/>
    <w:rsid w:val="00561C3F"/>
    <w:rsid w:val="00561DF0"/>
    <w:rsid w:val="00563DE4"/>
    <w:rsid w:val="0056401E"/>
    <w:rsid w:val="00564358"/>
    <w:rsid w:val="00566D40"/>
    <w:rsid w:val="00571472"/>
    <w:rsid w:val="00572C80"/>
    <w:rsid w:val="005747DB"/>
    <w:rsid w:val="005751EA"/>
    <w:rsid w:val="005752F7"/>
    <w:rsid w:val="00575CEC"/>
    <w:rsid w:val="005769EC"/>
    <w:rsid w:val="005802E0"/>
    <w:rsid w:val="00583140"/>
    <w:rsid w:val="005832FC"/>
    <w:rsid w:val="005853F9"/>
    <w:rsid w:val="00587375"/>
    <w:rsid w:val="00591A7B"/>
    <w:rsid w:val="005931B5"/>
    <w:rsid w:val="005943E1"/>
    <w:rsid w:val="00594EFA"/>
    <w:rsid w:val="005968D6"/>
    <w:rsid w:val="00596C5E"/>
    <w:rsid w:val="005976B5"/>
    <w:rsid w:val="005A0372"/>
    <w:rsid w:val="005A3280"/>
    <w:rsid w:val="005A3B19"/>
    <w:rsid w:val="005A3E43"/>
    <w:rsid w:val="005A4D4B"/>
    <w:rsid w:val="005A509A"/>
    <w:rsid w:val="005A5139"/>
    <w:rsid w:val="005A5204"/>
    <w:rsid w:val="005A54A2"/>
    <w:rsid w:val="005A54B1"/>
    <w:rsid w:val="005A6A4E"/>
    <w:rsid w:val="005A6E46"/>
    <w:rsid w:val="005B0072"/>
    <w:rsid w:val="005B01BF"/>
    <w:rsid w:val="005B293A"/>
    <w:rsid w:val="005B4985"/>
    <w:rsid w:val="005B504D"/>
    <w:rsid w:val="005B5367"/>
    <w:rsid w:val="005B589D"/>
    <w:rsid w:val="005B6661"/>
    <w:rsid w:val="005B6968"/>
    <w:rsid w:val="005B6E18"/>
    <w:rsid w:val="005B7A5C"/>
    <w:rsid w:val="005C11F7"/>
    <w:rsid w:val="005C36E5"/>
    <w:rsid w:val="005C3827"/>
    <w:rsid w:val="005C3F73"/>
    <w:rsid w:val="005C4C62"/>
    <w:rsid w:val="005C7E6E"/>
    <w:rsid w:val="005D0D9E"/>
    <w:rsid w:val="005D26F1"/>
    <w:rsid w:val="005D5407"/>
    <w:rsid w:val="005D6A60"/>
    <w:rsid w:val="005D6B15"/>
    <w:rsid w:val="005D6D8D"/>
    <w:rsid w:val="005D76E1"/>
    <w:rsid w:val="005E307F"/>
    <w:rsid w:val="005E34E5"/>
    <w:rsid w:val="005E3883"/>
    <w:rsid w:val="005E4FE2"/>
    <w:rsid w:val="005E5507"/>
    <w:rsid w:val="005E5EF2"/>
    <w:rsid w:val="005E6ACD"/>
    <w:rsid w:val="005E748D"/>
    <w:rsid w:val="005F16B9"/>
    <w:rsid w:val="005F44C2"/>
    <w:rsid w:val="005F4D2F"/>
    <w:rsid w:val="005F4F97"/>
    <w:rsid w:val="005F5E59"/>
    <w:rsid w:val="00600D97"/>
    <w:rsid w:val="0060391B"/>
    <w:rsid w:val="00603A2B"/>
    <w:rsid w:val="0060460D"/>
    <w:rsid w:val="00604B48"/>
    <w:rsid w:val="0060588F"/>
    <w:rsid w:val="006063F3"/>
    <w:rsid w:val="00606428"/>
    <w:rsid w:val="00606D75"/>
    <w:rsid w:val="00607738"/>
    <w:rsid w:val="00607F59"/>
    <w:rsid w:val="00611153"/>
    <w:rsid w:val="00611916"/>
    <w:rsid w:val="00613316"/>
    <w:rsid w:val="00613408"/>
    <w:rsid w:val="00613C32"/>
    <w:rsid w:val="00613D6C"/>
    <w:rsid w:val="00615918"/>
    <w:rsid w:val="00620B26"/>
    <w:rsid w:val="00621B34"/>
    <w:rsid w:val="006232E4"/>
    <w:rsid w:val="0062361B"/>
    <w:rsid w:val="00624F67"/>
    <w:rsid w:val="006258B2"/>
    <w:rsid w:val="00626458"/>
    <w:rsid w:val="00627189"/>
    <w:rsid w:val="00627321"/>
    <w:rsid w:val="0063017B"/>
    <w:rsid w:val="006304B9"/>
    <w:rsid w:val="00631871"/>
    <w:rsid w:val="00631BA1"/>
    <w:rsid w:val="00631D84"/>
    <w:rsid w:val="00632380"/>
    <w:rsid w:val="0063283B"/>
    <w:rsid w:val="006328B1"/>
    <w:rsid w:val="00632CD5"/>
    <w:rsid w:val="006330A9"/>
    <w:rsid w:val="0063475B"/>
    <w:rsid w:val="0063597B"/>
    <w:rsid w:val="00635FC0"/>
    <w:rsid w:val="00636303"/>
    <w:rsid w:val="0063768B"/>
    <w:rsid w:val="00640299"/>
    <w:rsid w:val="0064209E"/>
    <w:rsid w:val="006439AA"/>
    <w:rsid w:val="00643A27"/>
    <w:rsid w:val="00643B77"/>
    <w:rsid w:val="0064513D"/>
    <w:rsid w:val="006461AB"/>
    <w:rsid w:val="0064673D"/>
    <w:rsid w:val="006469A7"/>
    <w:rsid w:val="00646D15"/>
    <w:rsid w:val="00647728"/>
    <w:rsid w:val="0065084C"/>
    <w:rsid w:val="00651248"/>
    <w:rsid w:val="00651E3C"/>
    <w:rsid w:val="00651EDC"/>
    <w:rsid w:val="006523C8"/>
    <w:rsid w:val="0065250F"/>
    <w:rsid w:val="006544CC"/>
    <w:rsid w:val="00654A90"/>
    <w:rsid w:val="00654FBE"/>
    <w:rsid w:val="006619ED"/>
    <w:rsid w:val="00664F92"/>
    <w:rsid w:val="00665E9E"/>
    <w:rsid w:val="00667B97"/>
    <w:rsid w:val="00670AD0"/>
    <w:rsid w:val="00672155"/>
    <w:rsid w:val="00674496"/>
    <w:rsid w:val="00674F7D"/>
    <w:rsid w:val="006767DE"/>
    <w:rsid w:val="00676A83"/>
    <w:rsid w:val="00676F72"/>
    <w:rsid w:val="00682E20"/>
    <w:rsid w:val="00683258"/>
    <w:rsid w:val="00683CFA"/>
    <w:rsid w:val="006846C2"/>
    <w:rsid w:val="00687456"/>
    <w:rsid w:val="00690A54"/>
    <w:rsid w:val="006910CE"/>
    <w:rsid w:val="00691C9B"/>
    <w:rsid w:val="00693786"/>
    <w:rsid w:val="00694634"/>
    <w:rsid w:val="00695387"/>
    <w:rsid w:val="00695B2F"/>
    <w:rsid w:val="00695F63"/>
    <w:rsid w:val="00696257"/>
    <w:rsid w:val="006962E4"/>
    <w:rsid w:val="00696AF3"/>
    <w:rsid w:val="00697DBC"/>
    <w:rsid w:val="006A036B"/>
    <w:rsid w:val="006A0C0B"/>
    <w:rsid w:val="006A102C"/>
    <w:rsid w:val="006A1349"/>
    <w:rsid w:val="006A32E2"/>
    <w:rsid w:val="006A35F9"/>
    <w:rsid w:val="006A3633"/>
    <w:rsid w:val="006A3CF9"/>
    <w:rsid w:val="006A43DB"/>
    <w:rsid w:val="006A4BE4"/>
    <w:rsid w:val="006A5171"/>
    <w:rsid w:val="006A6AC1"/>
    <w:rsid w:val="006A6CEA"/>
    <w:rsid w:val="006B39EC"/>
    <w:rsid w:val="006B3A4B"/>
    <w:rsid w:val="006B3CE8"/>
    <w:rsid w:val="006B4082"/>
    <w:rsid w:val="006B4A91"/>
    <w:rsid w:val="006B6F93"/>
    <w:rsid w:val="006B6FA0"/>
    <w:rsid w:val="006C1850"/>
    <w:rsid w:val="006C1973"/>
    <w:rsid w:val="006C20C5"/>
    <w:rsid w:val="006C3007"/>
    <w:rsid w:val="006C3BC5"/>
    <w:rsid w:val="006C3CF3"/>
    <w:rsid w:val="006C3CF5"/>
    <w:rsid w:val="006C4766"/>
    <w:rsid w:val="006C7061"/>
    <w:rsid w:val="006C74AA"/>
    <w:rsid w:val="006C771B"/>
    <w:rsid w:val="006C7EFD"/>
    <w:rsid w:val="006D0ED2"/>
    <w:rsid w:val="006D1397"/>
    <w:rsid w:val="006D209B"/>
    <w:rsid w:val="006D2361"/>
    <w:rsid w:val="006D3DF1"/>
    <w:rsid w:val="006D3FAF"/>
    <w:rsid w:val="006D5E62"/>
    <w:rsid w:val="006D6135"/>
    <w:rsid w:val="006D63CD"/>
    <w:rsid w:val="006D6568"/>
    <w:rsid w:val="006D719A"/>
    <w:rsid w:val="006E122E"/>
    <w:rsid w:val="006E16C2"/>
    <w:rsid w:val="006E1E30"/>
    <w:rsid w:val="006E213D"/>
    <w:rsid w:val="006E2314"/>
    <w:rsid w:val="006E23D4"/>
    <w:rsid w:val="006E246E"/>
    <w:rsid w:val="006E2B21"/>
    <w:rsid w:val="006E3400"/>
    <w:rsid w:val="006E3F91"/>
    <w:rsid w:val="006E4803"/>
    <w:rsid w:val="006E4AAF"/>
    <w:rsid w:val="006E659C"/>
    <w:rsid w:val="006E6AF3"/>
    <w:rsid w:val="006E79E8"/>
    <w:rsid w:val="006E7CBB"/>
    <w:rsid w:val="006F0020"/>
    <w:rsid w:val="006F0916"/>
    <w:rsid w:val="006F0928"/>
    <w:rsid w:val="006F0C57"/>
    <w:rsid w:val="006F170A"/>
    <w:rsid w:val="006F21FC"/>
    <w:rsid w:val="006F3A97"/>
    <w:rsid w:val="006F3C51"/>
    <w:rsid w:val="006F5D55"/>
    <w:rsid w:val="006F66ED"/>
    <w:rsid w:val="006F6A12"/>
    <w:rsid w:val="006F7F88"/>
    <w:rsid w:val="00700FCD"/>
    <w:rsid w:val="0070336A"/>
    <w:rsid w:val="00704CEA"/>
    <w:rsid w:val="00704D01"/>
    <w:rsid w:val="00704F69"/>
    <w:rsid w:val="007067A9"/>
    <w:rsid w:val="00706B03"/>
    <w:rsid w:val="00710A45"/>
    <w:rsid w:val="00711CEE"/>
    <w:rsid w:val="0071483E"/>
    <w:rsid w:val="0071687B"/>
    <w:rsid w:val="00717360"/>
    <w:rsid w:val="00717FE8"/>
    <w:rsid w:val="00720703"/>
    <w:rsid w:val="00720CC1"/>
    <w:rsid w:val="00720EA1"/>
    <w:rsid w:val="00721137"/>
    <w:rsid w:val="00721946"/>
    <w:rsid w:val="00721D33"/>
    <w:rsid w:val="00721D4E"/>
    <w:rsid w:val="00722662"/>
    <w:rsid w:val="00723F06"/>
    <w:rsid w:val="00724B17"/>
    <w:rsid w:val="00725685"/>
    <w:rsid w:val="00725EF9"/>
    <w:rsid w:val="00727414"/>
    <w:rsid w:val="00730023"/>
    <w:rsid w:val="007305BD"/>
    <w:rsid w:val="007308C8"/>
    <w:rsid w:val="00730E7E"/>
    <w:rsid w:val="00731B4D"/>
    <w:rsid w:val="0073259F"/>
    <w:rsid w:val="00734B01"/>
    <w:rsid w:val="007352E6"/>
    <w:rsid w:val="00735BB2"/>
    <w:rsid w:val="00735C55"/>
    <w:rsid w:val="00736AC3"/>
    <w:rsid w:val="00737657"/>
    <w:rsid w:val="007401E5"/>
    <w:rsid w:val="007432CD"/>
    <w:rsid w:val="007433A0"/>
    <w:rsid w:val="0074450B"/>
    <w:rsid w:val="0074534A"/>
    <w:rsid w:val="00745C48"/>
    <w:rsid w:val="00745EF2"/>
    <w:rsid w:val="007460AB"/>
    <w:rsid w:val="00746709"/>
    <w:rsid w:val="0074699B"/>
    <w:rsid w:val="00746DE5"/>
    <w:rsid w:val="007478CD"/>
    <w:rsid w:val="007479EF"/>
    <w:rsid w:val="0075166A"/>
    <w:rsid w:val="007517CF"/>
    <w:rsid w:val="00751C28"/>
    <w:rsid w:val="00751EE0"/>
    <w:rsid w:val="007526D6"/>
    <w:rsid w:val="00752C3A"/>
    <w:rsid w:val="00753485"/>
    <w:rsid w:val="00753981"/>
    <w:rsid w:val="007549EC"/>
    <w:rsid w:val="007551D3"/>
    <w:rsid w:val="00757123"/>
    <w:rsid w:val="00761136"/>
    <w:rsid w:val="00761508"/>
    <w:rsid w:val="007625EF"/>
    <w:rsid w:val="0076267A"/>
    <w:rsid w:val="0076500A"/>
    <w:rsid w:val="00765D41"/>
    <w:rsid w:val="007714E7"/>
    <w:rsid w:val="00771A5F"/>
    <w:rsid w:val="007725C1"/>
    <w:rsid w:val="00772957"/>
    <w:rsid w:val="00772D21"/>
    <w:rsid w:val="00772E6D"/>
    <w:rsid w:val="00775B13"/>
    <w:rsid w:val="00780639"/>
    <w:rsid w:val="0078067E"/>
    <w:rsid w:val="00780A37"/>
    <w:rsid w:val="00781686"/>
    <w:rsid w:val="0078288F"/>
    <w:rsid w:val="00783B05"/>
    <w:rsid w:val="007840B8"/>
    <w:rsid w:val="00784112"/>
    <w:rsid w:val="007841E6"/>
    <w:rsid w:val="00785086"/>
    <w:rsid w:val="00786582"/>
    <w:rsid w:val="00786A63"/>
    <w:rsid w:val="00787981"/>
    <w:rsid w:val="0079053C"/>
    <w:rsid w:val="00791A72"/>
    <w:rsid w:val="007942FE"/>
    <w:rsid w:val="00795830"/>
    <w:rsid w:val="00795BDE"/>
    <w:rsid w:val="00796C89"/>
    <w:rsid w:val="007A0E69"/>
    <w:rsid w:val="007A0E72"/>
    <w:rsid w:val="007A15DC"/>
    <w:rsid w:val="007A21A9"/>
    <w:rsid w:val="007A485C"/>
    <w:rsid w:val="007A6019"/>
    <w:rsid w:val="007A62A5"/>
    <w:rsid w:val="007A6E11"/>
    <w:rsid w:val="007A7DAF"/>
    <w:rsid w:val="007A7E67"/>
    <w:rsid w:val="007B0D21"/>
    <w:rsid w:val="007B0E5C"/>
    <w:rsid w:val="007B1CDE"/>
    <w:rsid w:val="007B5822"/>
    <w:rsid w:val="007B73B7"/>
    <w:rsid w:val="007B7AE4"/>
    <w:rsid w:val="007C076F"/>
    <w:rsid w:val="007C196A"/>
    <w:rsid w:val="007C3C5B"/>
    <w:rsid w:val="007C3D56"/>
    <w:rsid w:val="007C4703"/>
    <w:rsid w:val="007C4D75"/>
    <w:rsid w:val="007C6149"/>
    <w:rsid w:val="007C61BC"/>
    <w:rsid w:val="007C6494"/>
    <w:rsid w:val="007C6C69"/>
    <w:rsid w:val="007C739D"/>
    <w:rsid w:val="007C7FB2"/>
    <w:rsid w:val="007D0352"/>
    <w:rsid w:val="007D0EAE"/>
    <w:rsid w:val="007D159B"/>
    <w:rsid w:val="007D4A0B"/>
    <w:rsid w:val="007D569A"/>
    <w:rsid w:val="007D7698"/>
    <w:rsid w:val="007D7CD7"/>
    <w:rsid w:val="007E0AB9"/>
    <w:rsid w:val="007E12B0"/>
    <w:rsid w:val="007E3699"/>
    <w:rsid w:val="007E3AED"/>
    <w:rsid w:val="007E5279"/>
    <w:rsid w:val="007E58F6"/>
    <w:rsid w:val="007E6047"/>
    <w:rsid w:val="007E6C24"/>
    <w:rsid w:val="007E72AF"/>
    <w:rsid w:val="007F0283"/>
    <w:rsid w:val="007F0A6C"/>
    <w:rsid w:val="007F15B2"/>
    <w:rsid w:val="007F17C7"/>
    <w:rsid w:val="007F36EC"/>
    <w:rsid w:val="007F4221"/>
    <w:rsid w:val="007F500B"/>
    <w:rsid w:val="007F591B"/>
    <w:rsid w:val="007F5A32"/>
    <w:rsid w:val="007F7A84"/>
    <w:rsid w:val="008024CC"/>
    <w:rsid w:val="008027A2"/>
    <w:rsid w:val="00802D75"/>
    <w:rsid w:val="00804133"/>
    <w:rsid w:val="00804D5A"/>
    <w:rsid w:val="00805064"/>
    <w:rsid w:val="0080681D"/>
    <w:rsid w:val="00807779"/>
    <w:rsid w:val="0081026A"/>
    <w:rsid w:val="0081098B"/>
    <w:rsid w:val="00810D07"/>
    <w:rsid w:val="00812035"/>
    <w:rsid w:val="00812111"/>
    <w:rsid w:val="00812527"/>
    <w:rsid w:val="00813DB4"/>
    <w:rsid w:val="0081401F"/>
    <w:rsid w:val="00814EDE"/>
    <w:rsid w:val="00814EF2"/>
    <w:rsid w:val="00814F7F"/>
    <w:rsid w:val="0081570F"/>
    <w:rsid w:val="00816509"/>
    <w:rsid w:val="00816A3D"/>
    <w:rsid w:val="00817442"/>
    <w:rsid w:val="008211C3"/>
    <w:rsid w:val="0082270F"/>
    <w:rsid w:val="00824D5C"/>
    <w:rsid w:val="00825608"/>
    <w:rsid w:val="00827420"/>
    <w:rsid w:val="00830EBA"/>
    <w:rsid w:val="00831907"/>
    <w:rsid w:val="00831BE0"/>
    <w:rsid w:val="00831BF2"/>
    <w:rsid w:val="008352D9"/>
    <w:rsid w:val="00835A5A"/>
    <w:rsid w:val="00837DDA"/>
    <w:rsid w:val="00840709"/>
    <w:rsid w:val="00840A83"/>
    <w:rsid w:val="008410A0"/>
    <w:rsid w:val="0084147D"/>
    <w:rsid w:val="00841A28"/>
    <w:rsid w:val="008455E2"/>
    <w:rsid w:val="00845A0A"/>
    <w:rsid w:val="00847024"/>
    <w:rsid w:val="00850855"/>
    <w:rsid w:val="00851153"/>
    <w:rsid w:val="0085184B"/>
    <w:rsid w:val="008554D8"/>
    <w:rsid w:val="008568EC"/>
    <w:rsid w:val="00860AB5"/>
    <w:rsid w:val="008610B4"/>
    <w:rsid w:val="0086256C"/>
    <w:rsid w:val="008626E9"/>
    <w:rsid w:val="0086276B"/>
    <w:rsid w:val="00862ED2"/>
    <w:rsid w:val="00863B4A"/>
    <w:rsid w:val="00863C82"/>
    <w:rsid w:val="00863E89"/>
    <w:rsid w:val="00866E69"/>
    <w:rsid w:val="008671DE"/>
    <w:rsid w:val="00867647"/>
    <w:rsid w:val="00867F55"/>
    <w:rsid w:val="0087001B"/>
    <w:rsid w:val="0087012F"/>
    <w:rsid w:val="00870D64"/>
    <w:rsid w:val="00872F0F"/>
    <w:rsid w:val="00873880"/>
    <w:rsid w:val="00873F98"/>
    <w:rsid w:val="008742E3"/>
    <w:rsid w:val="00874710"/>
    <w:rsid w:val="0087723F"/>
    <w:rsid w:val="0088269C"/>
    <w:rsid w:val="008831F8"/>
    <w:rsid w:val="00883EFE"/>
    <w:rsid w:val="00886F01"/>
    <w:rsid w:val="00887F00"/>
    <w:rsid w:val="00891D48"/>
    <w:rsid w:val="00892C9E"/>
    <w:rsid w:val="00892FAD"/>
    <w:rsid w:val="0089324C"/>
    <w:rsid w:val="008956D7"/>
    <w:rsid w:val="008966A9"/>
    <w:rsid w:val="00897E5A"/>
    <w:rsid w:val="008A0853"/>
    <w:rsid w:val="008A1930"/>
    <w:rsid w:val="008A1E0E"/>
    <w:rsid w:val="008A2992"/>
    <w:rsid w:val="008A4314"/>
    <w:rsid w:val="008A4E87"/>
    <w:rsid w:val="008A54A6"/>
    <w:rsid w:val="008A5665"/>
    <w:rsid w:val="008A6B80"/>
    <w:rsid w:val="008A714B"/>
    <w:rsid w:val="008A7AEC"/>
    <w:rsid w:val="008A7CC9"/>
    <w:rsid w:val="008B198C"/>
    <w:rsid w:val="008B2C1D"/>
    <w:rsid w:val="008B3D3E"/>
    <w:rsid w:val="008B40A4"/>
    <w:rsid w:val="008B4815"/>
    <w:rsid w:val="008B583B"/>
    <w:rsid w:val="008B607F"/>
    <w:rsid w:val="008C0EDB"/>
    <w:rsid w:val="008C101E"/>
    <w:rsid w:val="008C2377"/>
    <w:rsid w:val="008C2AB2"/>
    <w:rsid w:val="008C2E27"/>
    <w:rsid w:val="008C3403"/>
    <w:rsid w:val="008C41B9"/>
    <w:rsid w:val="008C6683"/>
    <w:rsid w:val="008C6D2B"/>
    <w:rsid w:val="008D0F25"/>
    <w:rsid w:val="008D19E6"/>
    <w:rsid w:val="008D2F10"/>
    <w:rsid w:val="008D7233"/>
    <w:rsid w:val="008E0FB6"/>
    <w:rsid w:val="008E1F45"/>
    <w:rsid w:val="008E31B6"/>
    <w:rsid w:val="008E468D"/>
    <w:rsid w:val="008E4CBF"/>
    <w:rsid w:val="008E53A5"/>
    <w:rsid w:val="008E5774"/>
    <w:rsid w:val="008E624F"/>
    <w:rsid w:val="008E6C0D"/>
    <w:rsid w:val="008E6E20"/>
    <w:rsid w:val="008E7A83"/>
    <w:rsid w:val="008E7D1C"/>
    <w:rsid w:val="008F10D4"/>
    <w:rsid w:val="008F33EC"/>
    <w:rsid w:val="008F3ED4"/>
    <w:rsid w:val="008F4CF7"/>
    <w:rsid w:val="008F56F9"/>
    <w:rsid w:val="008F58E4"/>
    <w:rsid w:val="008F6E96"/>
    <w:rsid w:val="008F71E6"/>
    <w:rsid w:val="008F79D9"/>
    <w:rsid w:val="008F7C0C"/>
    <w:rsid w:val="009022D0"/>
    <w:rsid w:val="00902877"/>
    <w:rsid w:val="0090385C"/>
    <w:rsid w:val="0090487C"/>
    <w:rsid w:val="009051A1"/>
    <w:rsid w:val="00906C4E"/>
    <w:rsid w:val="00911E4C"/>
    <w:rsid w:val="009124BD"/>
    <w:rsid w:val="00912566"/>
    <w:rsid w:val="00912F6F"/>
    <w:rsid w:val="0091322B"/>
    <w:rsid w:val="00913774"/>
    <w:rsid w:val="00913E82"/>
    <w:rsid w:val="00914DFF"/>
    <w:rsid w:val="009178C9"/>
    <w:rsid w:val="00920EA1"/>
    <w:rsid w:val="00920EF0"/>
    <w:rsid w:val="009227BE"/>
    <w:rsid w:val="00922DC0"/>
    <w:rsid w:val="00924489"/>
    <w:rsid w:val="00924B1C"/>
    <w:rsid w:val="00925005"/>
    <w:rsid w:val="009255AA"/>
    <w:rsid w:val="00925D47"/>
    <w:rsid w:val="00926319"/>
    <w:rsid w:val="009263BD"/>
    <w:rsid w:val="00926CF9"/>
    <w:rsid w:val="00930998"/>
    <w:rsid w:val="00930B18"/>
    <w:rsid w:val="0093147C"/>
    <w:rsid w:val="00932019"/>
    <w:rsid w:val="00932DB4"/>
    <w:rsid w:val="009362AE"/>
    <w:rsid w:val="00937C97"/>
    <w:rsid w:val="00942231"/>
    <w:rsid w:val="00943352"/>
    <w:rsid w:val="00943560"/>
    <w:rsid w:val="00943741"/>
    <w:rsid w:val="0094440C"/>
    <w:rsid w:val="009465EB"/>
    <w:rsid w:val="00946EC9"/>
    <w:rsid w:val="00946F21"/>
    <w:rsid w:val="00947420"/>
    <w:rsid w:val="00950C75"/>
    <w:rsid w:val="0095181C"/>
    <w:rsid w:val="00951DFC"/>
    <w:rsid w:val="00952764"/>
    <w:rsid w:val="00954C68"/>
    <w:rsid w:val="00955444"/>
    <w:rsid w:val="00955DA1"/>
    <w:rsid w:val="009561DF"/>
    <w:rsid w:val="00956279"/>
    <w:rsid w:val="00956B96"/>
    <w:rsid w:val="009600D9"/>
    <w:rsid w:val="009630AA"/>
    <w:rsid w:val="009643B1"/>
    <w:rsid w:val="00964FA3"/>
    <w:rsid w:val="00966AB8"/>
    <w:rsid w:val="00966D6F"/>
    <w:rsid w:val="00966E30"/>
    <w:rsid w:val="0096737B"/>
    <w:rsid w:val="00970CEF"/>
    <w:rsid w:val="00971524"/>
    <w:rsid w:val="00971620"/>
    <w:rsid w:val="009718F3"/>
    <w:rsid w:val="00971E75"/>
    <w:rsid w:val="009723A0"/>
    <w:rsid w:val="00972DCF"/>
    <w:rsid w:val="009740EF"/>
    <w:rsid w:val="00974263"/>
    <w:rsid w:val="009746BF"/>
    <w:rsid w:val="00974882"/>
    <w:rsid w:val="00975739"/>
    <w:rsid w:val="0097599E"/>
    <w:rsid w:val="009810D2"/>
    <w:rsid w:val="00981365"/>
    <w:rsid w:val="00982C69"/>
    <w:rsid w:val="009830CF"/>
    <w:rsid w:val="00985074"/>
    <w:rsid w:val="0098675A"/>
    <w:rsid w:val="009871A4"/>
    <w:rsid w:val="009900E4"/>
    <w:rsid w:val="00991630"/>
    <w:rsid w:val="00991F3E"/>
    <w:rsid w:val="009922D6"/>
    <w:rsid w:val="00992311"/>
    <w:rsid w:val="00993B5B"/>
    <w:rsid w:val="009943B2"/>
    <w:rsid w:val="00994412"/>
    <w:rsid w:val="0099486C"/>
    <w:rsid w:val="00994AF3"/>
    <w:rsid w:val="00995295"/>
    <w:rsid w:val="009977F8"/>
    <w:rsid w:val="00997C25"/>
    <w:rsid w:val="009A1A53"/>
    <w:rsid w:val="009A305A"/>
    <w:rsid w:val="009A34CC"/>
    <w:rsid w:val="009A35B0"/>
    <w:rsid w:val="009A362E"/>
    <w:rsid w:val="009A4750"/>
    <w:rsid w:val="009A4B03"/>
    <w:rsid w:val="009A5AE2"/>
    <w:rsid w:val="009A724D"/>
    <w:rsid w:val="009A7DF5"/>
    <w:rsid w:val="009B02E4"/>
    <w:rsid w:val="009B09F8"/>
    <w:rsid w:val="009B137F"/>
    <w:rsid w:val="009B2B86"/>
    <w:rsid w:val="009B4035"/>
    <w:rsid w:val="009B54F0"/>
    <w:rsid w:val="009B5E65"/>
    <w:rsid w:val="009B5F90"/>
    <w:rsid w:val="009C1970"/>
    <w:rsid w:val="009C23EC"/>
    <w:rsid w:val="009C31FB"/>
    <w:rsid w:val="009C34AC"/>
    <w:rsid w:val="009C4288"/>
    <w:rsid w:val="009C464B"/>
    <w:rsid w:val="009C4650"/>
    <w:rsid w:val="009C4E7F"/>
    <w:rsid w:val="009C5414"/>
    <w:rsid w:val="009C65D1"/>
    <w:rsid w:val="009C7F3B"/>
    <w:rsid w:val="009D0DFC"/>
    <w:rsid w:val="009D11AB"/>
    <w:rsid w:val="009D1CB5"/>
    <w:rsid w:val="009D1CE1"/>
    <w:rsid w:val="009D2628"/>
    <w:rsid w:val="009D3A12"/>
    <w:rsid w:val="009D5124"/>
    <w:rsid w:val="009D5482"/>
    <w:rsid w:val="009D5652"/>
    <w:rsid w:val="009D6F03"/>
    <w:rsid w:val="009D707F"/>
    <w:rsid w:val="009E061D"/>
    <w:rsid w:val="009E13D3"/>
    <w:rsid w:val="009E15D4"/>
    <w:rsid w:val="009E37AB"/>
    <w:rsid w:val="009E4BB5"/>
    <w:rsid w:val="009E5677"/>
    <w:rsid w:val="009E67F2"/>
    <w:rsid w:val="009F0152"/>
    <w:rsid w:val="009F296C"/>
    <w:rsid w:val="009F2CA5"/>
    <w:rsid w:val="009F3849"/>
    <w:rsid w:val="009F49EC"/>
    <w:rsid w:val="009F5115"/>
    <w:rsid w:val="009F51F3"/>
    <w:rsid w:val="009F587E"/>
    <w:rsid w:val="00A000E9"/>
    <w:rsid w:val="00A0106D"/>
    <w:rsid w:val="00A01158"/>
    <w:rsid w:val="00A023E4"/>
    <w:rsid w:val="00A02655"/>
    <w:rsid w:val="00A04377"/>
    <w:rsid w:val="00A0579C"/>
    <w:rsid w:val="00A05ABE"/>
    <w:rsid w:val="00A066B9"/>
    <w:rsid w:val="00A07206"/>
    <w:rsid w:val="00A108E0"/>
    <w:rsid w:val="00A10E47"/>
    <w:rsid w:val="00A11489"/>
    <w:rsid w:val="00A126D2"/>
    <w:rsid w:val="00A1385F"/>
    <w:rsid w:val="00A146F5"/>
    <w:rsid w:val="00A14A43"/>
    <w:rsid w:val="00A14EA6"/>
    <w:rsid w:val="00A15517"/>
    <w:rsid w:val="00A161A4"/>
    <w:rsid w:val="00A1622A"/>
    <w:rsid w:val="00A167E9"/>
    <w:rsid w:val="00A16BC4"/>
    <w:rsid w:val="00A16DDF"/>
    <w:rsid w:val="00A1718E"/>
    <w:rsid w:val="00A17763"/>
    <w:rsid w:val="00A21111"/>
    <w:rsid w:val="00A213DC"/>
    <w:rsid w:val="00A218A9"/>
    <w:rsid w:val="00A21FDA"/>
    <w:rsid w:val="00A24BB6"/>
    <w:rsid w:val="00A25109"/>
    <w:rsid w:val="00A304D7"/>
    <w:rsid w:val="00A30C87"/>
    <w:rsid w:val="00A31867"/>
    <w:rsid w:val="00A318E1"/>
    <w:rsid w:val="00A328E0"/>
    <w:rsid w:val="00A32AAF"/>
    <w:rsid w:val="00A33237"/>
    <w:rsid w:val="00A33810"/>
    <w:rsid w:val="00A34FCD"/>
    <w:rsid w:val="00A3509C"/>
    <w:rsid w:val="00A35465"/>
    <w:rsid w:val="00A359BC"/>
    <w:rsid w:val="00A369E2"/>
    <w:rsid w:val="00A36B6B"/>
    <w:rsid w:val="00A378FF"/>
    <w:rsid w:val="00A37900"/>
    <w:rsid w:val="00A4036E"/>
    <w:rsid w:val="00A40486"/>
    <w:rsid w:val="00A42DC0"/>
    <w:rsid w:val="00A444A1"/>
    <w:rsid w:val="00A44A35"/>
    <w:rsid w:val="00A458E9"/>
    <w:rsid w:val="00A468AF"/>
    <w:rsid w:val="00A4694E"/>
    <w:rsid w:val="00A46AA3"/>
    <w:rsid w:val="00A4725D"/>
    <w:rsid w:val="00A503BF"/>
    <w:rsid w:val="00A50431"/>
    <w:rsid w:val="00A50FA7"/>
    <w:rsid w:val="00A521FD"/>
    <w:rsid w:val="00A526E7"/>
    <w:rsid w:val="00A5321D"/>
    <w:rsid w:val="00A53666"/>
    <w:rsid w:val="00A53C55"/>
    <w:rsid w:val="00A540CE"/>
    <w:rsid w:val="00A55141"/>
    <w:rsid w:val="00A55984"/>
    <w:rsid w:val="00A56350"/>
    <w:rsid w:val="00A567E7"/>
    <w:rsid w:val="00A570BC"/>
    <w:rsid w:val="00A5780A"/>
    <w:rsid w:val="00A608C4"/>
    <w:rsid w:val="00A60A5E"/>
    <w:rsid w:val="00A61141"/>
    <w:rsid w:val="00A63BCD"/>
    <w:rsid w:val="00A6429B"/>
    <w:rsid w:val="00A6573A"/>
    <w:rsid w:val="00A6579B"/>
    <w:rsid w:val="00A66D6F"/>
    <w:rsid w:val="00A67F4A"/>
    <w:rsid w:val="00A7096F"/>
    <w:rsid w:val="00A73488"/>
    <w:rsid w:val="00A73755"/>
    <w:rsid w:val="00A739C4"/>
    <w:rsid w:val="00A739F7"/>
    <w:rsid w:val="00A741C8"/>
    <w:rsid w:val="00A745E5"/>
    <w:rsid w:val="00A749FD"/>
    <w:rsid w:val="00A75142"/>
    <w:rsid w:val="00A7549E"/>
    <w:rsid w:val="00A75B68"/>
    <w:rsid w:val="00A80CCE"/>
    <w:rsid w:val="00A811AE"/>
    <w:rsid w:val="00A81FA5"/>
    <w:rsid w:val="00A823B9"/>
    <w:rsid w:val="00A837B0"/>
    <w:rsid w:val="00A84B85"/>
    <w:rsid w:val="00A933F1"/>
    <w:rsid w:val="00A95415"/>
    <w:rsid w:val="00A964E2"/>
    <w:rsid w:val="00A96698"/>
    <w:rsid w:val="00A96812"/>
    <w:rsid w:val="00A96853"/>
    <w:rsid w:val="00A96F74"/>
    <w:rsid w:val="00AA00F5"/>
    <w:rsid w:val="00AA0F4F"/>
    <w:rsid w:val="00AA16E3"/>
    <w:rsid w:val="00AA1929"/>
    <w:rsid w:val="00AA2884"/>
    <w:rsid w:val="00AA2ADE"/>
    <w:rsid w:val="00AA3D64"/>
    <w:rsid w:val="00AA4E41"/>
    <w:rsid w:val="00AA5FAB"/>
    <w:rsid w:val="00AB4264"/>
    <w:rsid w:val="00AB479F"/>
    <w:rsid w:val="00AB57E1"/>
    <w:rsid w:val="00AB5F65"/>
    <w:rsid w:val="00AB7B16"/>
    <w:rsid w:val="00AC0825"/>
    <w:rsid w:val="00AC09E9"/>
    <w:rsid w:val="00AC0A18"/>
    <w:rsid w:val="00AC159B"/>
    <w:rsid w:val="00AC2389"/>
    <w:rsid w:val="00AC3CF7"/>
    <w:rsid w:val="00AC5674"/>
    <w:rsid w:val="00AC674E"/>
    <w:rsid w:val="00AC7E80"/>
    <w:rsid w:val="00AD10DB"/>
    <w:rsid w:val="00AD20DC"/>
    <w:rsid w:val="00AD39F5"/>
    <w:rsid w:val="00AD3A42"/>
    <w:rsid w:val="00AD3C76"/>
    <w:rsid w:val="00AD3F90"/>
    <w:rsid w:val="00AD4074"/>
    <w:rsid w:val="00AD7B42"/>
    <w:rsid w:val="00AE023C"/>
    <w:rsid w:val="00AE1D8E"/>
    <w:rsid w:val="00AE2F47"/>
    <w:rsid w:val="00AE3626"/>
    <w:rsid w:val="00AE37CF"/>
    <w:rsid w:val="00AE37ED"/>
    <w:rsid w:val="00AE6A85"/>
    <w:rsid w:val="00AE786C"/>
    <w:rsid w:val="00AE7A4F"/>
    <w:rsid w:val="00AE7C0F"/>
    <w:rsid w:val="00AF0BEC"/>
    <w:rsid w:val="00AF10DA"/>
    <w:rsid w:val="00AF13DC"/>
    <w:rsid w:val="00AF155B"/>
    <w:rsid w:val="00AF19ED"/>
    <w:rsid w:val="00AF2562"/>
    <w:rsid w:val="00AF2EFC"/>
    <w:rsid w:val="00AF469C"/>
    <w:rsid w:val="00AF4FE5"/>
    <w:rsid w:val="00AF5955"/>
    <w:rsid w:val="00AF5C30"/>
    <w:rsid w:val="00AF6DF7"/>
    <w:rsid w:val="00AF6F16"/>
    <w:rsid w:val="00B0153D"/>
    <w:rsid w:val="00B018C6"/>
    <w:rsid w:val="00B01EEA"/>
    <w:rsid w:val="00B030FA"/>
    <w:rsid w:val="00B049A8"/>
    <w:rsid w:val="00B11819"/>
    <w:rsid w:val="00B121FA"/>
    <w:rsid w:val="00B12FE9"/>
    <w:rsid w:val="00B131E5"/>
    <w:rsid w:val="00B139A6"/>
    <w:rsid w:val="00B13A4C"/>
    <w:rsid w:val="00B1407E"/>
    <w:rsid w:val="00B14E3E"/>
    <w:rsid w:val="00B17318"/>
    <w:rsid w:val="00B21A9D"/>
    <w:rsid w:val="00B225D0"/>
    <w:rsid w:val="00B22C64"/>
    <w:rsid w:val="00B2366C"/>
    <w:rsid w:val="00B236CC"/>
    <w:rsid w:val="00B24175"/>
    <w:rsid w:val="00B24ABF"/>
    <w:rsid w:val="00B2544A"/>
    <w:rsid w:val="00B2633B"/>
    <w:rsid w:val="00B275C1"/>
    <w:rsid w:val="00B27EB9"/>
    <w:rsid w:val="00B303B9"/>
    <w:rsid w:val="00B304B3"/>
    <w:rsid w:val="00B31A81"/>
    <w:rsid w:val="00B32CD2"/>
    <w:rsid w:val="00B3323A"/>
    <w:rsid w:val="00B34C9D"/>
    <w:rsid w:val="00B34CDA"/>
    <w:rsid w:val="00B35C92"/>
    <w:rsid w:val="00B35E34"/>
    <w:rsid w:val="00B36825"/>
    <w:rsid w:val="00B40F7A"/>
    <w:rsid w:val="00B42879"/>
    <w:rsid w:val="00B431D1"/>
    <w:rsid w:val="00B43B29"/>
    <w:rsid w:val="00B445AF"/>
    <w:rsid w:val="00B44854"/>
    <w:rsid w:val="00B44D2B"/>
    <w:rsid w:val="00B45868"/>
    <w:rsid w:val="00B45B35"/>
    <w:rsid w:val="00B46C72"/>
    <w:rsid w:val="00B50D0B"/>
    <w:rsid w:val="00B5151F"/>
    <w:rsid w:val="00B52BC0"/>
    <w:rsid w:val="00B54766"/>
    <w:rsid w:val="00B54853"/>
    <w:rsid w:val="00B54E12"/>
    <w:rsid w:val="00B5636A"/>
    <w:rsid w:val="00B56A18"/>
    <w:rsid w:val="00B611C3"/>
    <w:rsid w:val="00B62B3C"/>
    <w:rsid w:val="00B63E08"/>
    <w:rsid w:val="00B6516E"/>
    <w:rsid w:val="00B659ED"/>
    <w:rsid w:val="00B67C34"/>
    <w:rsid w:val="00B705D1"/>
    <w:rsid w:val="00B728F1"/>
    <w:rsid w:val="00B73860"/>
    <w:rsid w:val="00B75444"/>
    <w:rsid w:val="00B75C96"/>
    <w:rsid w:val="00B7629B"/>
    <w:rsid w:val="00B7653D"/>
    <w:rsid w:val="00B77604"/>
    <w:rsid w:val="00B77725"/>
    <w:rsid w:val="00B77E78"/>
    <w:rsid w:val="00B80B5D"/>
    <w:rsid w:val="00B81F72"/>
    <w:rsid w:val="00B829BB"/>
    <w:rsid w:val="00B832B0"/>
    <w:rsid w:val="00B847D5"/>
    <w:rsid w:val="00B86410"/>
    <w:rsid w:val="00B87955"/>
    <w:rsid w:val="00B9000C"/>
    <w:rsid w:val="00B90825"/>
    <w:rsid w:val="00B92018"/>
    <w:rsid w:val="00B92361"/>
    <w:rsid w:val="00B92384"/>
    <w:rsid w:val="00B925D9"/>
    <w:rsid w:val="00B92B24"/>
    <w:rsid w:val="00B94B6D"/>
    <w:rsid w:val="00B94EAB"/>
    <w:rsid w:val="00B9569A"/>
    <w:rsid w:val="00B97CCF"/>
    <w:rsid w:val="00BA20AA"/>
    <w:rsid w:val="00BA3E9F"/>
    <w:rsid w:val="00BA3F72"/>
    <w:rsid w:val="00BA51BF"/>
    <w:rsid w:val="00BA6CC9"/>
    <w:rsid w:val="00BA6E93"/>
    <w:rsid w:val="00BA711B"/>
    <w:rsid w:val="00BB032B"/>
    <w:rsid w:val="00BB150D"/>
    <w:rsid w:val="00BB1A2D"/>
    <w:rsid w:val="00BB1B43"/>
    <w:rsid w:val="00BB1CC2"/>
    <w:rsid w:val="00BB2218"/>
    <w:rsid w:val="00BB2DB7"/>
    <w:rsid w:val="00BB3D25"/>
    <w:rsid w:val="00BB419D"/>
    <w:rsid w:val="00BB5569"/>
    <w:rsid w:val="00BB5716"/>
    <w:rsid w:val="00BB588B"/>
    <w:rsid w:val="00BB5A8E"/>
    <w:rsid w:val="00BB64A4"/>
    <w:rsid w:val="00BB6E0E"/>
    <w:rsid w:val="00BB79A7"/>
    <w:rsid w:val="00BC0A12"/>
    <w:rsid w:val="00BC384D"/>
    <w:rsid w:val="00BC38C0"/>
    <w:rsid w:val="00BC3D6A"/>
    <w:rsid w:val="00BC4031"/>
    <w:rsid w:val="00BC455D"/>
    <w:rsid w:val="00BC4FC6"/>
    <w:rsid w:val="00BC5819"/>
    <w:rsid w:val="00BC5EFD"/>
    <w:rsid w:val="00BC6F44"/>
    <w:rsid w:val="00BC6FA4"/>
    <w:rsid w:val="00BC7B06"/>
    <w:rsid w:val="00BD182F"/>
    <w:rsid w:val="00BD24D3"/>
    <w:rsid w:val="00BD2EC5"/>
    <w:rsid w:val="00BD3A9A"/>
    <w:rsid w:val="00BD417E"/>
    <w:rsid w:val="00BD4370"/>
    <w:rsid w:val="00BD483F"/>
    <w:rsid w:val="00BD4F4E"/>
    <w:rsid w:val="00BD5578"/>
    <w:rsid w:val="00BD673A"/>
    <w:rsid w:val="00BD79AC"/>
    <w:rsid w:val="00BE07C9"/>
    <w:rsid w:val="00BE0978"/>
    <w:rsid w:val="00BE1294"/>
    <w:rsid w:val="00BE18A5"/>
    <w:rsid w:val="00BE221A"/>
    <w:rsid w:val="00BE399F"/>
    <w:rsid w:val="00BE3F48"/>
    <w:rsid w:val="00BE48F4"/>
    <w:rsid w:val="00BE4E2C"/>
    <w:rsid w:val="00BE64CA"/>
    <w:rsid w:val="00BF1358"/>
    <w:rsid w:val="00BF2C7A"/>
    <w:rsid w:val="00BF4C18"/>
    <w:rsid w:val="00BF4CD4"/>
    <w:rsid w:val="00BF54FE"/>
    <w:rsid w:val="00BF7026"/>
    <w:rsid w:val="00C00201"/>
    <w:rsid w:val="00C0028E"/>
    <w:rsid w:val="00C00A3D"/>
    <w:rsid w:val="00C0143C"/>
    <w:rsid w:val="00C039A3"/>
    <w:rsid w:val="00C04668"/>
    <w:rsid w:val="00C053AD"/>
    <w:rsid w:val="00C05BD2"/>
    <w:rsid w:val="00C07F6C"/>
    <w:rsid w:val="00C12F01"/>
    <w:rsid w:val="00C136C3"/>
    <w:rsid w:val="00C15949"/>
    <w:rsid w:val="00C15E93"/>
    <w:rsid w:val="00C15F79"/>
    <w:rsid w:val="00C15F7C"/>
    <w:rsid w:val="00C161E4"/>
    <w:rsid w:val="00C17345"/>
    <w:rsid w:val="00C20950"/>
    <w:rsid w:val="00C2158B"/>
    <w:rsid w:val="00C22248"/>
    <w:rsid w:val="00C22871"/>
    <w:rsid w:val="00C23363"/>
    <w:rsid w:val="00C24FB4"/>
    <w:rsid w:val="00C260FC"/>
    <w:rsid w:val="00C2742B"/>
    <w:rsid w:val="00C27640"/>
    <w:rsid w:val="00C27A80"/>
    <w:rsid w:val="00C30459"/>
    <w:rsid w:val="00C31208"/>
    <w:rsid w:val="00C31976"/>
    <w:rsid w:val="00C3227A"/>
    <w:rsid w:val="00C32F5E"/>
    <w:rsid w:val="00C335F7"/>
    <w:rsid w:val="00C337F6"/>
    <w:rsid w:val="00C347E5"/>
    <w:rsid w:val="00C35024"/>
    <w:rsid w:val="00C3530F"/>
    <w:rsid w:val="00C35F46"/>
    <w:rsid w:val="00C36034"/>
    <w:rsid w:val="00C3619C"/>
    <w:rsid w:val="00C3622B"/>
    <w:rsid w:val="00C37858"/>
    <w:rsid w:val="00C4174E"/>
    <w:rsid w:val="00C4228B"/>
    <w:rsid w:val="00C42AB3"/>
    <w:rsid w:val="00C4389F"/>
    <w:rsid w:val="00C466B1"/>
    <w:rsid w:val="00C47796"/>
    <w:rsid w:val="00C50E1C"/>
    <w:rsid w:val="00C51DD5"/>
    <w:rsid w:val="00C52D52"/>
    <w:rsid w:val="00C53834"/>
    <w:rsid w:val="00C5394D"/>
    <w:rsid w:val="00C53B98"/>
    <w:rsid w:val="00C546D9"/>
    <w:rsid w:val="00C548AE"/>
    <w:rsid w:val="00C56026"/>
    <w:rsid w:val="00C57010"/>
    <w:rsid w:val="00C572C6"/>
    <w:rsid w:val="00C60236"/>
    <w:rsid w:val="00C60B26"/>
    <w:rsid w:val="00C60EFE"/>
    <w:rsid w:val="00C61B8F"/>
    <w:rsid w:val="00C6276B"/>
    <w:rsid w:val="00C6297A"/>
    <w:rsid w:val="00C6366D"/>
    <w:rsid w:val="00C63AF4"/>
    <w:rsid w:val="00C63EBD"/>
    <w:rsid w:val="00C63F65"/>
    <w:rsid w:val="00C64A26"/>
    <w:rsid w:val="00C662F3"/>
    <w:rsid w:val="00C70034"/>
    <w:rsid w:val="00C7058B"/>
    <w:rsid w:val="00C705AE"/>
    <w:rsid w:val="00C7120C"/>
    <w:rsid w:val="00C73A62"/>
    <w:rsid w:val="00C73B29"/>
    <w:rsid w:val="00C74151"/>
    <w:rsid w:val="00C741BA"/>
    <w:rsid w:val="00C749FD"/>
    <w:rsid w:val="00C74A98"/>
    <w:rsid w:val="00C7662B"/>
    <w:rsid w:val="00C76732"/>
    <w:rsid w:val="00C779E8"/>
    <w:rsid w:val="00C8072E"/>
    <w:rsid w:val="00C814BC"/>
    <w:rsid w:val="00C81C40"/>
    <w:rsid w:val="00C82592"/>
    <w:rsid w:val="00C839CA"/>
    <w:rsid w:val="00C8524C"/>
    <w:rsid w:val="00C87E2C"/>
    <w:rsid w:val="00C919BA"/>
    <w:rsid w:val="00C91EAB"/>
    <w:rsid w:val="00C929D5"/>
    <w:rsid w:val="00C929F9"/>
    <w:rsid w:val="00C92B91"/>
    <w:rsid w:val="00C94596"/>
    <w:rsid w:val="00C945E0"/>
    <w:rsid w:val="00C95B5C"/>
    <w:rsid w:val="00C963C5"/>
    <w:rsid w:val="00C969A2"/>
    <w:rsid w:val="00C96ADC"/>
    <w:rsid w:val="00C96E18"/>
    <w:rsid w:val="00C97099"/>
    <w:rsid w:val="00C974A6"/>
    <w:rsid w:val="00C97FB9"/>
    <w:rsid w:val="00CA00B1"/>
    <w:rsid w:val="00CA0D17"/>
    <w:rsid w:val="00CA0F78"/>
    <w:rsid w:val="00CA22BE"/>
    <w:rsid w:val="00CA2FEA"/>
    <w:rsid w:val="00CA326A"/>
    <w:rsid w:val="00CA3550"/>
    <w:rsid w:val="00CA3BA8"/>
    <w:rsid w:val="00CA4002"/>
    <w:rsid w:val="00CA4051"/>
    <w:rsid w:val="00CA5C3D"/>
    <w:rsid w:val="00CA5C93"/>
    <w:rsid w:val="00CA72A7"/>
    <w:rsid w:val="00CA7960"/>
    <w:rsid w:val="00CB081F"/>
    <w:rsid w:val="00CB1905"/>
    <w:rsid w:val="00CB1EF8"/>
    <w:rsid w:val="00CB2332"/>
    <w:rsid w:val="00CB2F10"/>
    <w:rsid w:val="00CB34A3"/>
    <w:rsid w:val="00CB36A2"/>
    <w:rsid w:val="00CB469C"/>
    <w:rsid w:val="00CB5FD0"/>
    <w:rsid w:val="00CB5FE9"/>
    <w:rsid w:val="00CB6665"/>
    <w:rsid w:val="00CB667A"/>
    <w:rsid w:val="00CC020A"/>
    <w:rsid w:val="00CC0533"/>
    <w:rsid w:val="00CC30A5"/>
    <w:rsid w:val="00CC5F35"/>
    <w:rsid w:val="00CC61F7"/>
    <w:rsid w:val="00CC6EEB"/>
    <w:rsid w:val="00CC6F57"/>
    <w:rsid w:val="00CC7347"/>
    <w:rsid w:val="00CC7438"/>
    <w:rsid w:val="00CD17FF"/>
    <w:rsid w:val="00CD223D"/>
    <w:rsid w:val="00CD2A5E"/>
    <w:rsid w:val="00CD2A9D"/>
    <w:rsid w:val="00CD3575"/>
    <w:rsid w:val="00CD3C2D"/>
    <w:rsid w:val="00CD3D13"/>
    <w:rsid w:val="00CD4F27"/>
    <w:rsid w:val="00CD6487"/>
    <w:rsid w:val="00CD703A"/>
    <w:rsid w:val="00CD72E5"/>
    <w:rsid w:val="00CE0A99"/>
    <w:rsid w:val="00CE1BEF"/>
    <w:rsid w:val="00CE2DDF"/>
    <w:rsid w:val="00CE2E3C"/>
    <w:rsid w:val="00CE375C"/>
    <w:rsid w:val="00CE3CF5"/>
    <w:rsid w:val="00CE4757"/>
    <w:rsid w:val="00CE4BE2"/>
    <w:rsid w:val="00CE4CB8"/>
    <w:rsid w:val="00CE5634"/>
    <w:rsid w:val="00CF0149"/>
    <w:rsid w:val="00CF0CB3"/>
    <w:rsid w:val="00CF0FE3"/>
    <w:rsid w:val="00CF10BB"/>
    <w:rsid w:val="00CF15C1"/>
    <w:rsid w:val="00CF1C32"/>
    <w:rsid w:val="00CF2FF7"/>
    <w:rsid w:val="00CF4C6E"/>
    <w:rsid w:val="00CF5C1F"/>
    <w:rsid w:val="00CF5F80"/>
    <w:rsid w:val="00CF6040"/>
    <w:rsid w:val="00CF6857"/>
    <w:rsid w:val="00D008DE"/>
    <w:rsid w:val="00D01557"/>
    <w:rsid w:val="00D0298C"/>
    <w:rsid w:val="00D0302C"/>
    <w:rsid w:val="00D03CFE"/>
    <w:rsid w:val="00D05246"/>
    <w:rsid w:val="00D05870"/>
    <w:rsid w:val="00D05A09"/>
    <w:rsid w:val="00D05D63"/>
    <w:rsid w:val="00D067B6"/>
    <w:rsid w:val="00D06AC6"/>
    <w:rsid w:val="00D06B73"/>
    <w:rsid w:val="00D1002D"/>
    <w:rsid w:val="00D10BFE"/>
    <w:rsid w:val="00D10F76"/>
    <w:rsid w:val="00D11191"/>
    <w:rsid w:val="00D13E0D"/>
    <w:rsid w:val="00D15E09"/>
    <w:rsid w:val="00D21782"/>
    <w:rsid w:val="00D22A2D"/>
    <w:rsid w:val="00D24450"/>
    <w:rsid w:val="00D24AAB"/>
    <w:rsid w:val="00D25D43"/>
    <w:rsid w:val="00D26997"/>
    <w:rsid w:val="00D279A6"/>
    <w:rsid w:val="00D301D3"/>
    <w:rsid w:val="00D31B63"/>
    <w:rsid w:val="00D3262E"/>
    <w:rsid w:val="00D346DC"/>
    <w:rsid w:val="00D34D02"/>
    <w:rsid w:val="00D352A2"/>
    <w:rsid w:val="00D35493"/>
    <w:rsid w:val="00D369E5"/>
    <w:rsid w:val="00D4047E"/>
    <w:rsid w:val="00D4127E"/>
    <w:rsid w:val="00D41807"/>
    <w:rsid w:val="00D427D8"/>
    <w:rsid w:val="00D451B1"/>
    <w:rsid w:val="00D47228"/>
    <w:rsid w:val="00D50128"/>
    <w:rsid w:val="00D505FF"/>
    <w:rsid w:val="00D51E26"/>
    <w:rsid w:val="00D526B9"/>
    <w:rsid w:val="00D53579"/>
    <w:rsid w:val="00D53A1E"/>
    <w:rsid w:val="00D5610E"/>
    <w:rsid w:val="00D56144"/>
    <w:rsid w:val="00D56371"/>
    <w:rsid w:val="00D6014C"/>
    <w:rsid w:val="00D60DBD"/>
    <w:rsid w:val="00D613C8"/>
    <w:rsid w:val="00D6208D"/>
    <w:rsid w:val="00D625FE"/>
    <w:rsid w:val="00D62EED"/>
    <w:rsid w:val="00D62EF4"/>
    <w:rsid w:val="00D6636F"/>
    <w:rsid w:val="00D66AF0"/>
    <w:rsid w:val="00D670BD"/>
    <w:rsid w:val="00D67924"/>
    <w:rsid w:val="00D70490"/>
    <w:rsid w:val="00D718A4"/>
    <w:rsid w:val="00D72313"/>
    <w:rsid w:val="00D77078"/>
    <w:rsid w:val="00D7741C"/>
    <w:rsid w:val="00D80162"/>
    <w:rsid w:val="00D807FD"/>
    <w:rsid w:val="00D80922"/>
    <w:rsid w:val="00D82000"/>
    <w:rsid w:val="00D83518"/>
    <w:rsid w:val="00D8369E"/>
    <w:rsid w:val="00D8480D"/>
    <w:rsid w:val="00D86162"/>
    <w:rsid w:val="00D865A8"/>
    <w:rsid w:val="00D86E79"/>
    <w:rsid w:val="00D86EBD"/>
    <w:rsid w:val="00D87F57"/>
    <w:rsid w:val="00D92195"/>
    <w:rsid w:val="00D92478"/>
    <w:rsid w:val="00D92A64"/>
    <w:rsid w:val="00D92D51"/>
    <w:rsid w:val="00D95B8D"/>
    <w:rsid w:val="00D969EE"/>
    <w:rsid w:val="00D96A3D"/>
    <w:rsid w:val="00D96C04"/>
    <w:rsid w:val="00D97C2D"/>
    <w:rsid w:val="00DA0435"/>
    <w:rsid w:val="00DA059E"/>
    <w:rsid w:val="00DA152D"/>
    <w:rsid w:val="00DA15A4"/>
    <w:rsid w:val="00DA15BC"/>
    <w:rsid w:val="00DA1FBB"/>
    <w:rsid w:val="00DA2EDB"/>
    <w:rsid w:val="00DA37EA"/>
    <w:rsid w:val="00DA3CCC"/>
    <w:rsid w:val="00DA3DD5"/>
    <w:rsid w:val="00DA453C"/>
    <w:rsid w:val="00DA56BD"/>
    <w:rsid w:val="00DA6B9B"/>
    <w:rsid w:val="00DA70B1"/>
    <w:rsid w:val="00DA764A"/>
    <w:rsid w:val="00DA7B01"/>
    <w:rsid w:val="00DB124B"/>
    <w:rsid w:val="00DB214F"/>
    <w:rsid w:val="00DB2926"/>
    <w:rsid w:val="00DB2C42"/>
    <w:rsid w:val="00DB36FF"/>
    <w:rsid w:val="00DB4262"/>
    <w:rsid w:val="00DB4D7D"/>
    <w:rsid w:val="00DB4FF2"/>
    <w:rsid w:val="00DB630B"/>
    <w:rsid w:val="00DC0049"/>
    <w:rsid w:val="00DC021A"/>
    <w:rsid w:val="00DC1106"/>
    <w:rsid w:val="00DC1B4C"/>
    <w:rsid w:val="00DC367E"/>
    <w:rsid w:val="00DC36CB"/>
    <w:rsid w:val="00DC4492"/>
    <w:rsid w:val="00DC4AD9"/>
    <w:rsid w:val="00DC4E5E"/>
    <w:rsid w:val="00DC6564"/>
    <w:rsid w:val="00DC760A"/>
    <w:rsid w:val="00DC79CA"/>
    <w:rsid w:val="00DC7D04"/>
    <w:rsid w:val="00DD06D2"/>
    <w:rsid w:val="00DD1AD1"/>
    <w:rsid w:val="00DD3D2D"/>
    <w:rsid w:val="00DD3EC2"/>
    <w:rsid w:val="00DD438A"/>
    <w:rsid w:val="00DD69E7"/>
    <w:rsid w:val="00DD6DAF"/>
    <w:rsid w:val="00DD75BD"/>
    <w:rsid w:val="00DE079E"/>
    <w:rsid w:val="00DE27E6"/>
    <w:rsid w:val="00DE2BF8"/>
    <w:rsid w:val="00DE32C3"/>
    <w:rsid w:val="00DE335D"/>
    <w:rsid w:val="00DE3A06"/>
    <w:rsid w:val="00DE3ABC"/>
    <w:rsid w:val="00DE54E9"/>
    <w:rsid w:val="00DE57AE"/>
    <w:rsid w:val="00DE5CD0"/>
    <w:rsid w:val="00DE6255"/>
    <w:rsid w:val="00DE685C"/>
    <w:rsid w:val="00DE6D5F"/>
    <w:rsid w:val="00DE6E1E"/>
    <w:rsid w:val="00DF093A"/>
    <w:rsid w:val="00DF1E38"/>
    <w:rsid w:val="00DF20B0"/>
    <w:rsid w:val="00DF2351"/>
    <w:rsid w:val="00DF3152"/>
    <w:rsid w:val="00DF6A6C"/>
    <w:rsid w:val="00DF7987"/>
    <w:rsid w:val="00DF7E42"/>
    <w:rsid w:val="00E003C2"/>
    <w:rsid w:val="00E0055C"/>
    <w:rsid w:val="00E01464"/>
    <w:rsid w:val="00E01D4A"/>
    <w:rsid w:val="00E027C5"/>
    <w:rsid w:val="00E03B29"/>
    <w:rsid w:val="00E03C99"/>
    <w:rsid w:val="00E051B2"/>
    <w:rsid w:val="00E0604D"/>
    <w:rsid w:val="00E0702C"/>
    <w:rsid w:val="00E07085"/>
    <w:rsid w:val="00E1098B"/>
    <w:rsid w:val="00E10BAD"/>
    <w:rsid w:val="00E12A04"/>
    <w:rsid w:val="00E135B7"/>
    <w:rsid w:val="00E1439E"/>
    <w:rsid w:val="00E151ED"/>
    <w:rsid w:val="00E16A0E"/>
    <w:rsid w:val="00E16A5A"/>
    <w:rsid w:val="00E179E8"/>
    <w:rsid w:val="00E21CD4"/>
    <w:rsid w:val="00E23FBB"/>
    <w:rsid w:val="00E251D4"/>
    <w:rsid w:val="00E257FA"/>
    <w:rsid w:val="00E25E68"/>
    <w:rsid w:val="00E27B94"/>
    <w:rsid w:val="00E27B9B"/>
    <w:rsid w:val="00E309E6"/>
    <w:rsid w:val="00E30D7A"/>
    <w:rsid w:val="00E3177B"/>
    <w:rsid w:val="00E32EF5"/>
    <w:rsid w:val="00E334D7"/>
    <w:rsid w:val="00E34CEB"/>
    <w:rsid w:val="00E351C7"/>
    <w:rsid w:val="00E356EB"/>
    <w:rsid w:val="00E373EC"/>
    <w:rsid w:val="00E4006D"/>
    <w:rsid w:val="00E40483"/>
    <w:rsid w:val="00E43380"/>
    <w:rsid w:val="00E4464A"/>
    <w:rsid w:val="00E451CE"/>
    <w:rsid w:val="00E46785"/>
    <w:rsid w:val="00E46D5A"/>
    <w:rsid w:val="00E47772"/>
    <w:rsid w:val="00E50253"/>
    <w:rsid w:val="00E5133B"/>
    <w:rsid w:val="00E52442"/>
    <w:rsid w:val="00E52AFD"/>
    <w:rsid w:val="00E52C99"/>
    <w:rsid w:val="00E53021"/>
    <w:rsid w:val="00E54B2F"/>
    <w:rsid w:val="00E54E59"/>
    <w:rsid w:val="00E5561D"/>
    <w:rsid w:val="00E56F3F"/>
    <w:rsid w:val="00E578D7"/>
    <w:rsid w:val="00E57C4F"/>
    <w:rsid w:val="00E61C43"/>
    <w:rsid w:val="00E62495"/>
    <w:rsid w:val="00E635CE"/>
    <w:rsid w:val="00E63943"/>
    <w:rsid w:val="00E64A6B"/>
    <w:rsid w:val="00E64C04"/>
    <w:rsid w:val="00E64D55"/>
    <w:rsid w:val="00E6545A"/>
    <w:rsid w:val="00E66948"/>
    <w:rsid w:val="00E66CD7"/>
    <w:rsid w:val="00E67EDE"/>
    <w:rsid w:val="00E7277C"/>
    <w:rsid w:val="00E73090"/>
    <w:rsid w:val="00E741C4"/>
    <w:rsid w:val="00E74844"/>
    <w:rsid w:val="00E75781"/>
    <w:rsid w:val="00E75A9F"/>
    <w:rsid w:val="00E75EBF"/>
    <w:rsid w:val="00E76722"/>
    <w:rsid w:val="00E76A9A"/>
    <w:rsid w:val="00E776F6"/>
    <w:rsid w:val="00E8101E"/>
    <w:rsid w:val="00E8149B"/>
    <w:rsid w:val="00E85CFF"/>
    <w:rsid w:val="00E8743D"/>
    <w:rsid w:val="00E87467"/>
    <w:rsid w:val="00E902BC"/>
    <w:rsid w:val="00E92025"/>
    <w:rsid w:val="00E96662"/>
    <w:rsid w:val="00E97A67"/>
    <w:rsid w:val="00E97D19"/>
    <w:rsid w:val="00EA1C53"/>
    <w:rsid w:val="00EA200A"/>
    <w:rsid w:val="00EA50D0"/>
    <w:rsid w:val="00EA662B"/>
    <w:rsid w:val="00EA6763"/>
    <w:rsid w:val="00EA78FE"/>
    <w:rsid w:val="00EA7EAE"/>
    <w:rsid w:val="00EA7F89"/>
    <w:rsid w:val="00EB0125"/>
    <w:rsid w:val="00EB05BE"/>
    <w:rsid w:val="00EB2094"/>
    <w:rsid w:val="00EB36A0"/>
    <w:rsid w:val="00EB5134"/>
    <w:rsid w:val="00EB5FB9"/>
    <w:rsid w:val="00EB667A"/>
    <w:rsid w:val="00EB6C8C"/>
    <w:rsid w:val="00EB7029"/>
    <w:rsid w:val="00EB7128"/>
    <w:rsid w:val="00EC095D"/>
    <w:rsid w:val="00EC0E59"/>
    <w:rsid w:val="00EC2FF9"/>
    <w:rsid w:val="00EC50F1"/>
    <w:rsid w:val="00EC7817"/>
    <w:rsid w:val="00EC7E3F"/>
    <w:rsid w:val="00ED128E"/>
    <w:rsid w:val="00ED1C21"/>
    <w:rsid w:val="00ED1CF1"/>
    <w:rsid w:val="00ED4EB7"/>
    <w:rsid w:val="00ED55D4"/>
    <w:rsid w:val="00ED5B33"/>
    <w:rsid w:val="00ED61A7"/>
    <w:rsid w:val="00ED67D8"/>
    <w:rsid w:val="00ED67E6"/>
    <w:rsid w:val="00ED6EA3"/>
    <w:rsid w:val="00ED77FF"/>
    <w:rsid w:val="00ED7A1A"/>
    <w:rsid w:val="00EE017C"/>
    <w:rsid w:val="00EE04FB"/>
    <w:rsid w:val="00EE0812"/>
    <w:rsid w:val="00EE18D5"/>
    <w:rsid w:val="00EE371B"/>
    <w:rsid w:val="00EE3B29"/>
    <w:rsid w:val="00EE560B"/>
    <w:rsid w:val="00EE6DDF"/>
    <w:rsid w:val="00EE77E3"/>
    <w:rsid w:val="00EE7B8E"/>
    <w:rsid w:val="00EE7D2B"/>
    <w:rsid w:val="00EF00C1"/>
    <w:rsid w:val="00EF1134"/>
    <w:rsid w:val="00EF2095"/>
    <w:rsid w:val="00EF20A4"/>
    <w:rsid w:val="00EF3486"/>
    <w:rsid w:val="00EF41B5"/>
    <w:rsid w:val="00EF468E"/>
    <w:rsid w:val="00EF567C"/>
    <w:rsid w:val="00EF57B3"/>
    <w:rsid w:val="00EF6FF4"/>
    <w:rsid w:val="00F02B07"/>
    <w:rsid w:val="00F030AC"/>
    <w:rsid w:val="00F03A16"/>
    <w:rsid w:val="00F03CAB"/>
    <w:rsid w:val="00F06612"/>
    <w:rsid w:val="00F10083"/>
    <w:rsid w:val="00F1095B"/>
    <w:rsid w:val="00F1122C"/>
    <w:rsid w:val="00F132F5"/>
    <w:rsid w:val="00F144EF"/>
    <w:rsid w:val="00F1477F"/>
    <w:rsid w:val="00F1482B"/>
    <w:rsid w:val="00F1511D"/>
    <w:rsid w:val="00F151D3"/>
    <w:rsid w:val="00F1564A"/>
    <w:rsid w:val="00F15B7C"/>
    <w:rsid w:val="00F15BB3"/>
    <w:rsid w:val="00F2037A"/>
    <w:rsid w:val="00F21BF3"/>
    <w:rsid w:val="00F22689"/>
    <w:rsid w:val="00F23178"/>
    <w:rsid w:val="00F249C1"/>
    <w:rsid w:val="00F26442"/>
    <w:rsid w:val="00F26B47"/>
    <w:rsid w:val="00F27451"/>
    <w:rsid w:val="00F27819"/>
    <w:rsid w:val="00F27883"/>
    <w:rsid w:val="00F30AA1"/>
    <w:rsid w:val="00F30C86"/>
    <w:rsid w:val="00F312AE"/>
    <w:rsid w:val="00F31329"/>
    <w:rsid w:val="00F31533"/>
    <w:rsid w:val="00F325F5"/>
    <w:rsid w:val="00F3409E"/>
    <w:rsid w:val="00F344FF"/>
    <w:rsid w:val="00F3527D"/>
    <w:rsid w:val="00F36BCD"/>
    <w:rsid w:val="00F4001C"/>
    <w:rsid w:val="00F40101"/>
    <w:rsid w:val="00F41009"/>
    <w:rsid w:val="00F419E3"/>
    <w:rsid w:val="00F42057"/>
    <w:rsid w:val="00F42869"/>
    <w:rsid w:val="00F42E43"/>
    <w:rsid w:val="00F43706"/>
    <w:rsid w:val="00F43930"/>
    <w:rsid w:val="00F44405"/>
    <w:rsid w:val="00F459E3"/>
    <w:rsid w:val="00F47015"/>
    <w:rsid w:val="00F47215"/>
    <w:rsid w:val="00F511AD"/>
    <w:rsid w:val="00F521F3"/>
    <w:rsid w:val="00F526C6"/>
    <w:rsid w:val="00F52E59"/>
    <w:rsid w:val="00F53271"/>
    <w:rsid w:val="00F55601"/>
    <w:rsid w:val="00F56EA9"/>
    <w:rsid w:val="00F604F1"/>
    <w:rsid w:val="00F62546"/>
    <w:rsid w:val="00F63B37"/>
    <w:rsid w:val="00F63E07"/>
    <w:rsid w:val="00F641B8"/>
    <w:rsid w:val="00F654B5"/>
    <w:rsid w:val="00F66BDB"/>
    <w:rsid w:val="00F66EBF"/>
    <w:rsid w:val="00F7105E"/>
    <w:rsid w:val="00F721CF"/>
    <w:rsid w:val="00F725E5"/>
    <w:rsid w:val="00F72C17"/>
    <w:rsid w:val="00F742C8"/>
    <w:rsid w:val="00F7446D"/>
    <w:rsid w:val="00F74F93"/>
    <w:rsid w:val="00F75410"/>
    <w:rsid w:val="00F7581A"/>
    <w:rsid w:val="00F7696C"/>
    <w:rsid w:val="00F77C3A"/>
    <w:rsid w:val="00F80134"/>
    <w:rsid w:val="00F801F8"/>
    <w:rsid w:val="00F8125A"/>
    <w:rsid w:val="00F814A3"/>
    <w:rsid w:val="00F817C5"/>
    <w:rsid w:val="00F81D5C"/>
    <w:rsid w:val="00F847C8"/>
    <w:rsid w:val="00F84851"/>
    <w:rsid w:val="00F854BC"/>
    <w:rsid w:val="00F8580E"/>
    <w:rsid w:val="00F8754B"/>
    <w:rsid w:val="00F8773B"/>
    <w:rsid w:val="00F877DE"/>
    <w:rsid w:val="00F903EA"/>
    <w:rsid w:val="00F904E6"/>
    <w:rsid w:val="00F9091B"/>
    <w:rsid w:val="00F90E82"/>
    <w:rsid w:val="00F91B72"/>
    <w:rsid w:val="00F9357A"/>
    <w:rsid w:val="00F951AC"/>
    <w:rsid w:val="00F9576F"/>
    <w:rsid w:val="00F95B4D"/>
    <w:rsid w:val="00F96432"/>
    <w:rsid w:val="00FA3E1C"/>
    <w:rsid w:val="00FA41EF"/>
    <w:rsid w:val="00FA4C01"/>
    <w:rsid w:val="00FA507D"/>
    <w:rsid w:val="00FA567E"/>
    <w:rsid w:val="00FA64F4"/>
    <w:rsid w:val="00FA6FC5"/>
    <w:rsid w:val="00FB0824"/>
    <w:rsid w:val="00FB0DBE"/>
    <w:rsid w:val="00FB10FA"/>
    <w:rsid w:val="00FB2985"/>
    <w:rsid w:val="00FB3C99"/>
    <w:rsid w:val="00FB424B"/>
    <w:rsid w:val="00FB4BC9"/>
    <w:rsid w:val="00FB607D"/>
    <w:rsid w:val="00FB6D74"/>
    <w:rsid w:val="00FC05CC"/>
    <w:rsid w:val="00FC0C11"/>
    <w:rsid w:val="00FC150A"/>
    <w:rsid w:val="00FC2F5E"/>
    <w:rsid w:val="00FC3573"/>
    <w:rsid w:val="00FC4452"/>
    <w:rsid w:val="00FC4581"/>
    <w:rsid w:val="00FC59CE"/>
    <w:rsid w:val="00FC69C6"/>
    <w:rsid w:val="00FC6CBE"/>
    <w:rsid w:val="00FC6D4A"/>
    <w:rsid w:val="00FC798F"/>
    <w:rsid w:val="00FD039D"/>
    <w:rsid w:val="00FD1368"/>
    <w:rsid w:val="00FD27DD"/>
    <w:rsid w:val="00FD4832"/>
    <w:rsid w:val="00FD57EE"/>
    <w:rsid w:val="00FD5992"/>
    <w:rsid w:val="00FD5C06"/>
    <w:rsid w:val="00FD7BA5"/>
    <w:rsid w:val="00FD7F07"/>
    <w:rsid w:val="00FE04F2"/>
    <w:rsid w:val="00FE0605"/>
    <w:rsid w:val="00FE0820"/>
    <w:rsid w:val="00FE0A5A"/>
    <w:rsid w:val="00FE12D6"/>
    <w:rsid w:val="00FE28B9"/>
    <w:rsid w:val="00FE2D07"/>
    <w:rsid w:val="00FE4006"/>
    <w:rsid w:val="00FE5155"/>
    <w:rsid w:val="00FE641B"/>
    <w:rsid w:val="00FE683A"/>
    <w:rsid w:val="00FF01A1"/>
    <w:rsid w:val="00FF09D8"/>
    <w:rsid w:val="00FF11AD"/>
    <w:rsid w:val="00FF1367"/>
    <w:rsid w:val="00FF3C10"/>
    <w:rsid w:val="00FF420A"/>
    <w:rsid w:val="00FF5324"/>
    <w:rsid w:val="00FF593C"/>
    <w:rsid w:val="00FF6842"/>
    <w:rsid w:val="00FF6D4B"/>
    <w:rsid w:val="00FF6D65"/>
    <w:rsid w:val="00FF78A8"/>
    <w:rsid w:val="00FF7C9C"/>
    <w:rsid w:val="0352A2B8"/>
    <w:rsid w:val="045D44E8"/>
    <w:rsid w:val="047A029A"/>
    <w:rsid w:val="0855FB48"/>
    <w:rsid w:val="097FF478"/>
    <w:rsid w:val="0BB13E16"/>
    <w:rsid w:val="130E5FEA"/>
    <w:rsid w:val="148567A5"/>
    <w:rsid w:val="159006F3"/>
    <w:rsid w:val="1A4CF9B1"/>
    <w:rsid w:val="1A7D74AD"/>
    <w:rsid w:val="1CC72D3E"/>
    <w:rsid w:val="1E5AABBF"/>
    <w:rsid w:val="206D7EF4"/>
    <w:rsid w:val="26875109"/>
    <w:rsid w:val="26FE5E03"/>
    <w:rsid w:val="2A36A236"/>
    <w:rsid w:val="2AB67BDD"/>
    <w:rsid w:val="2C31F2DA"/>
    <w:rsid w:val="2E783BC6"/>
    <w:rsid w:val="30CDBA27"/>
    <w:rsid w:val="35A9C945"/>
    <w:rsid w:val="381A70A8"/>
    <w:rsid w:val="385787BD"/>
    <w:rsid w:val="38BE4105"/>
    <w:rsid w:val="391E73BD"/>
    <w:rsid w:val="3B3BFA19"/>
    <w:rsid w:val="3D4EE5FE"/>
    <w:rsid w:val="3EE43844"/>
    <w:rsid w:val="3F8C76CF"/>
    <w:rsid w:val="40F6B8A4"/>
    <w:rsid w:val="419A7168"/>
    <w:rsid w:val="435AB5B2"/>
    <w:rsid w:val="44D2EBD7"/>
    <w:rsid w:val="4B9108DA"/>
    <w:rsid w:val="4C33E4CA"/>
    <w:rsid w:val="4D66CE6C"/>
    <w:rsid w:val="4DBC978E"/>
    <w:rsid w:val="4EEB3CF7"/>
    <w:rsid w:val="5149E6C5"/>
    <w:rsid w:val="519A0AB0"/>
    <w:rsid w:val="53795481"/>
    <w:rsid w:val="55A2E44E"/>
    <w:rsid w:val="561E7658"/>
    <w:rsid w:val="59A69616"/>
    <w:rsid w:val="5AE98532"/>
    <w:rsid w:val="5C337369"/>
    <w:rsid w:val="5CA495D9"/>
    <w:rsid w:val="5D7CA71E"/>
    <w:rsid w:val="5F5AC52C"/>
    <w:rsid w:val="5FD28FFE"/>
    <w:rsid w:val="61BB755F"/>
    <w:rsid w:val="62785F63"/>
    <w:rsid w:val="62990F50"/>
    <w:rsid w:val="65049140"/>
    <w:rsid w:val="6729B158"/>
    <w:rsid w:val="67D4EB81"/>
    <w:rsid w:val="681F0BE1"/>
    <w:rsid w:val="6821EFED"/>
    <w:rsid w:val="689D9A33"/>
    <w:rsid w:val="68DBE658"/>
    <w:rsid w:val="6C90B6B8"/>
    <w:rsid w:val="6C94A265"/>
    <w:rsid w:val="6CEB451F"/>
    <w:rsid w:val="6F3B41D0"/>
    <w:rsid w:val="6F4F973A"/>
    <w:rsid w:val="6F6A5B82"/>
    <w:rsid w:val="71E4C62F"/>
    <w:rsid w:val="73C81E68"/>
    <w:rsid w:val="742B7822"/>
    <w:rsid w:val="77DB05A3"/>
    <w:rsid w:val="780DD415"/>
    <w:rsid w:val="78485C37"/>
    <w:rsid w:val="78D48A71"/>
    <w:rsid w:val="7946474A"/>
    <w:rsid w:val="7A1CA72C"/>
    <w:rsid w:val="7AC27DCC"/>
    <w:rsid w:val="7B0CCC76"/>
    <w:rsid w:val="7B76DBBA"/>
    <w:rsid w:val="7C54FFCB"/>
    <w:rsid w:val="7CDFDBDF"/>
    <w:rsid w:val="7E26F890"/>
    <w:rsid w:val="7F4C1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12A57"/>
  <w15:chartTrackingRefBased/>
  <w15:docId w15:val="{3F565F6C-9F26-4B30-8C85-C39EBD35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2F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74D9F"/>
    <w:pPr>
      <w:tabs>
        <w:tab w:val="center" w:pos="4153"/>
        <w:tab w:val="right" w:pos="8306"/>
      </w:tabs>
    </w:pPr>
  </w:style>
  <w:style w:type="character" w:styleId="Hyperlink">
    <w:name w:val="Hyperlink"/>
    <w:rsid w:val="00374D9F"/>
    <w:rPr>
      <w:color w:val="0000FF"/>
      <w:u w:val="single"/>
    </w:rPr>
  </w:style>
  <w:style w:type="table" w:styleId="TableGrid">
    <w:name w:val="Table Grid"/>
    <w:basedOn w:val="TableNormal"/>
    <w:uiPriority w:val="39"/>
    <w:rsid w:val="00374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74D9F"/>
    <w:pPr>
      <w:tabs>
        <w:tab w:val="center" w:pos="4153"/>
        <w:tab w:val="right" w:pos="8306"/>
      </w:tabs>
    </w:pPr>
  </w:style>
  <w:style w:type="paragraph" w:styleId="BalloonText">
    <w:name w:val="Balloon Text"/>
    <w:basedOn w:val="Normal"/>
    <w:semiHidden/>
    <w:rsid w:val="00C3622B"/>
    <w:rPr>
      <w:rFonts w:ascii="Tahoma" w:hAnsi="Tahoma" w:cs="Tahoma"/>
      <w:sz w:val="16"/>
      <w:szCs w:val="16"/>
    </w:rPr>
  </w:style>
  <w:style w:type="paragraph" w:styleId="ListParagraph">
    <w:name w:val="List Paragraph"/>
    <w:basedOn w:val="Normal"/>
    <w:uiPriority w:val="34"/>
    <w:qFormat/>
    <w:rsid w:val="00531FA6"/>
    <w:pPr>
      <w:ind w:left="720"/>
      <w:contextualSpacing/>
    </w:pPr>
  </w:style>
  <w:style w:type="character" w:styleId="CommentReference">
    <w:name w:val="annotation reference"/>
    <w:basedOn w:val="DefaultParagraphFont"/>
    <w:uiPriority w:val="99"/>
    <w:rsid w:val="0091322B"/>
    <w:rPr>
      <w:sz w:val="16"/>
      <w:szCs w:val="16"/>
    </w:rPr>
  </w:style>
  <w:style w:type="paragraph" w:styleId="CommentText">
    <w:name w:val="annotation text"/>
    <w:basedOn w:val="Normal"/>
    <w:link w:val="CommentTextChar"/>
    <w:uiPriority w:val="99"/>
    <w:rsid w:val="0091322B"/>
    <w:rPr>
      <w:sz w:val="20"/>
      <w:szCs w:val="20"/>
    </w:rPr>
  </w:style>
  <w:style w:type="character" w:customStyle="1" w:styleId="CommentTextChar">
    <w:name w:val="Comment Text Char"/>
    <w:basedOn w:val="DefaultParagraphFont"/>
    <w:link w:val="CommentText"/>
    <w:uiPriority w:val="99"/>
    <w:rsid w:val="0091322B"/>
  </w:style>
  <w:style w:type="paragraph" w:styleId="CommentSubject">
    <w:name w:val="annotation subject"/>
    <w:basedOn w:val="CommentText"/>
    <w:next w:val="CommentText"/>
    <w:link w:val="CommentSubjectChar"/>
    <w:rsid w:val="0091322B"/>
    <w:rPr>
      <w:b/>
      <w:bCs/>
    </w:rPr>
  </w:style>
  <w:style w:type="character" w:customStyle="1" w:styleId="CommentSubjectChar">
    <w:name w:val="Comment Subject Char"/>
    <w:basedOn w:val="CommentTextChar"/>
    <w:link w:val="CommentSubject"/>
    <w:rsid w:val="0091322B"/>
    <w:rPr>
      <w:b/>
      <w:bCs/>
    </w:rPr>
  </w:style>
  <w:style w:type="character" w:styleId="Mention">
    <w:name w:val="Mention"/>
    <w:basedOn w:val="DefaultParagraphFont"/>
    <w:uiPriority w:val="99"/>
    <w:unhideWhenUsed/>
    <w:rsid w:val="00B659ED"/>
    <w:rPr>
      <w:color w:val="2B579A"/>
      <w:shd w:val="clear" w:color="auto" w:fill="E1DFDD"/>
    </w:rPr>
  </w:style>
  <w:style w:type="paragraph" w:styleId="Revision">
    <w:name w:val="Revision"/>
    <w:hidden/>
    <w:uiPriority w:val="99"/>
    <w:semiHidden/>
    <w:rsid w:val="008508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06955">
      <w:bodyDiv w:val="1"/>
      <w:marLeft w:val="0"/>
      <w:marRight w:val="0"/>
      <w:marTop w:val="0"/>
      <w:marBottom w:val="0"/>
      <w:divBdr>
        <w:top w:val="none" w:sz="0" w:space="0" w:color="auto"/>
        <w:left w:val="none" w:sz="0" w:space="0" w:color="auto"/>
        <w:bottom w:val="none" w:sz="0" w:space="0" w:color="auto"/>
        <w:right w:val="none" w:sz="0" w:space="0" w:color="auto"/>
      </w:divBdr>
    </w:div>
    <w:div w:id="941840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yha.sharepoint.com/sites/CustomerContact/Shared%20Documents/Customer%20Experience%20Files%20and%20Documents/Complaints/Board%20Reports/2026%20Board%20Report/Complaints%20dashboard%20use%20for%20board%20reports%202025-26.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syha.sharepoint.com/sites/CustomerContact/Shared%20Documents/Customer%20Experience%20Files%20and%20Documents/Complaints/Board%20Reports/2026%20Board%20Report/Complaints%20dashboard%20use%20for%20board%20reports%202025-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868848596430665E-2"/>
          <c:y val="0.17171296296296298"/>
          <c:w val="0.89990146495470402"/>
          <c:h val="0.66333026034078135"/>
        </c:manualLayout>
      </c:layout>
      <c:lineChart>
        <c:grouping val="standard"/>
        <c:varyColors val="0"/>
        <c:ser>
          <c:idx val="3"/>
          <c:order val="1"/>
          <c:tx>
            <c:strRef>
              <c:f>'https://syha.sharepoint.com/sites/TeamAnnaandKev/Shared Documents/Data and Dashboards/Customer Experience/2026-27/[Customer Experience Dashboard 2026-27.xlsx]Complaints &amp; Compensation 26-27'!$A$9</c:f>
              <c:strCache>
                <c:ptCount val="1"/>
                <c:pt idx="0">
                  <c:v>Total per month 25-26</c:v>
                </c:pt>
              </c:strCache>
            </c:strRef>
          </c:tx>
          <c:spPr>
            <a:ln w="28575" cap="rnd">
              <a:solidFill>
                <a:srgbClr val="0070C0"/>
              </a:solidFill>
              <a:round/>
            </a:ln>
            <a:effectLst/>
          </c:spPr>
          <c:marker>
            <c:symbol val="none"/>
          </c:marker>
          <c:cat>
            <c:strRef>
              <c:f>'https://syha.sharepoint.com/sites/TeamAnnaandKev/Shared Documents/Data and Dashboards/Customer Experience/2026-27/[Customer Experience Dashboard 2026-27.xlsx]Complaints &amp; Compensation 26-27'!$B$5:$M$5</c:f>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f>'https://syha.sharepoint.com/sites/TeamAnnaandKev/Shared Documents/Data and Dashboards/Customer Experience/2026-27/[Customer Experience Dashboard 2026-27.xlsx]Complaints &amp; Compensation 26-27'!$B$9:$M$9</c:f>
              <c:numCache>
                <c:formatCode>General</c:formatCode>
                <c:ptCount val="12"/>
                <c:pt idx="0">
                  <c:v>21</c:v>
                </c:pt>
                <c:pt idx="1">
                  <c:v>16</c:v>
                </c:pt>
                <c:pt idx="2">
                  <c:v>30</c:v>
                </c:pt>
                <c:pt idx="3">
                  <c:v>23</c:v>
                </c:pt>
                <c:pt idx="4">
                  <c:v>24</c:v>
                </c:pt>
                <c:pt idx="5">
                  <c:v>22</c:v>
                </c:pt>
                <c:pt idx="6">
                  <c:v>29</c:v>
                </c:pt>
                <c:pt idx="7">
                  <c:v>26</c:v>
                </c:pt>
                <c:pt idx="8">
                  <c:v>26</c:v>
                </c:pt>
                <c:pt idx="9">
                  <c:v>32</c:v>
                </c:pt>
                <c:pt idx="10">
                  <c:v>35</c:v>
                </c:pt>
                <c:pt idx="11">
                  <c:v>27</c:v>
                </c:pt>
              </c:numCache>
            </c:numRef>
          </c:val>
          <c:smooth val="0"/>
          <c:extLst>
            <c:ext xmlns:c16="http://schemas.microsoft.com/office/drawing/2014/chart" uri="{C3380CC4-5D6E-409C-BE32-E72D297353CC}">
              <c16:uniqueId val="{00000000-7B56-4CC9-BEAC-7EA1A991F882}"/>
            </c:ext>
          </c:extLst>
        </c:ser>
        <c:ser>
          <c:idx val="4"/>
          <c:order val="2"/>
          <c:tx>
            <c:strRef>
              <c:f>'https://syha.sharepoint.com/sites/TeamAnnaandKev/Shared Documents/Data and Dashboards/Customer Experience/2026-27/[Customer Experience Dashboard 2026-27.xlsx]Complaints &amp; Compensation 26-27'!$A$10</c:f>
              <c:strCache>
                <c:ptCount val="1"/>
                <c:pt idx="0">
                  <c:v>Total per month 24-25</c:v>
                </c:pt>
              </c:strCache>
            </c:strRef>
          </c:tx>
          <c:spPr>
            <a:ln w="28575" cap="rnd">
              <a:solidFill>
                <a:srgbClr val="F79646"/>
              </a:solidFill>
              <a:round/>
            </a:ln>
            <a:effectLst/>
          </c:spPr>
          <c:marker>
            <c:symbol val="none"/>
          </c:marker>
          <c:cat>
            <c:strRef>
              <c:f>'https://syha.sharepoint.com/sites/TeamAnnaandKev/Shared Documents/Data and Dashboards/Customer Experience/2026-27/[Customer Experience Dashboard 2026-27.xlsx]Complaints &amp; Compensation 26-27'!$B$5:$M$5</c:f>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f>'https://syha.sharepoint.com/sites/TeamAnnaandKev/Shared Documents/Data and Dashboards/Customer Experience/2026-27/[Customer Experience Dashboard 2026-27.xlsx]Complaints &amp; Compensation 26-27'!$B$10:$M$10</c:f>
              <c:numCache>
                <c:formatCode>General</c:formatCode>
                <c:ptCount val="12"/>
                <c:pt idx="0">
                  <c:v>33</c:v>
                </c:pt>
                <c:pt idx="1">
                  <c:v>24</c:v>
                </c:pt>
                <c:pt idx="2">
                  <c:v>15</c:v>
                </c:pt>
                <c:pt idx="3">
                  <c:v>31</c:v>
                </c:pt>
                <c:pt idx="4">
                  <c:v>33</c:v>
                </c:pt>
                <c:pt idx="5">
                  <c:v>36</c:v>
                </c:pt>
                <c:pt idx="6">
                  <c:v>27</c:v>
                </c:pt>
                <c:pt idx="7">
                  <c:v>35</c:v>
                </c:pt>
                <c:pt idx="8">
                  <c:v>26</c:v>
                </c:pt>
                <c:pt idx="9">
                  <c:v>30</c:v>
                </c:pt>
                <c:pt idx="10">
                  <c:v>23</c:v>
                </c:pt>
                <c:pt idx="11">
                  <c:v>16</c:v>
                </c:pt>
              </c:numCache>
            </c:numRef>
          </c:val>
          <c:smooth val="0"/>
          <c:extLst>
            <c:ext xmlns:c16="http://schemas.microsoft.com/office/drawing/2014/chart" uri="{C3380CC4-5D6E-409C-BE32-E72D297353CC}">
              <c16:uniqueId val="{00000001-7B56-4CC9-BEAC-7EA1A991F882}"/>
            </c:ext>
          </c:extLst>
        </c:ser>
        <c:ser>
          <c:idx val="5"/>
          <c:order val="3"/>
          <c:tx>
            <c:strRef>
              <c:f>'https://syha.sharepoint.com/sites/TeamAnnaandKev/Shared Documents/Data and Dashboards/Customer Experience/2026-27/[Customer Experience Dashboard 2026-27.xlsx]Complaints &amp; Compensation 26-27'!$A$11</c:f>
              <c:strCache>
                <c:ptCount val="1"/>
                <c:pt idx="0">
                  <c:v>Total per month 23-24</c:v>
                </c:pt>
              </c:strCache>
              <c:extLst xmlns:c15="http://schemas.microsoft.com/office/drawing/2012/chart"/>
            </c:strRef>
          </c:tx>
          <c:spPr>
            <a:ln w="28575" cap="rnd">
              <a:solidFill>
                <a:srgbClr val="FFC000"/>
              </a:solidFill>
              <a:round/>
            </a:ln>
            <a:effectLst/>
          </c:spPr>
          <c:marker>
            <c:symbol val="none"/>
          </c:marker>
          <c:cat>
            <c:strRef>
              <c:f>'https://syha.sharepoint.com/sites/TeamAnnaandKev/Shared Documents/Data and Dashboards/Customer Experience/2026-27/[Customer Experience Dashboard 2026-27.xlsx]Complaints &amp; Compensation 26-27'!$B$5:$M$5</c:f>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extLst xmlns:c15="http://schemas.microsoft.com/office/drawing/2012/chart"/>
            </c:strRef>
          </c:cat>
          <c:val>
            <c:numRef>
              <c:f>'https://syha.sharepoint.com/sites/TeamAnnaandKev/Shared Documents/Data and Dashboards/Customer Experience/2026-27/[Customer Experience Dashboard 2026-27.xlsx]Complaints &amp; Compensation 26-27'!$B$11:$M$11</c:f>
              <c:numCache>
                <c:formatCode>General</c:formatCode>
                <c:ptCount val="12"/>
                <c:pt idx="0">
                  <c:v>24</c:v>
                </c:pt>
                <c:pt idx="1">
                  <c:v>25</c:v>
                </c:pt>
                <c:pt idx="2">
                  <c:v>24</c:v>
                </c:pt>
                <c:pt idx="3">
                  <c:v>15</c:v>
                </c:pt>
                <c:pt idx="4">
                  <c:v>16</c:v>
                </c:pt>
                <c:pt idx="5">
                  <c:v>21</c:v>
                </c:pt>
                <c:pt idx="6">
                  <c:v>28</c:v>
                </c:pt>
                <c:pt idx="7">
                  <c:v>13</c:v>
                </c:pt>
                <c:pt idx="8">
                  <c:v>13</c:v>
                </c:pt>
                <c:pt idx="9">
                  <c:v>29</c:v>
                </c:pt>
                <c:pt idx="10">
                  <c:v>22</c:v>
                </c:pt>
                <c:pt idx="11">
                  <c:v>30</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2-7B56-4CC9-BEAC-7EA1A991F882}"/>
            </c:ext>
          </c:extLst>
        </c:ser>
        <c:dLbls>
          <c:showLegendKey val="0"/>
          <c:showVal val="0"/>
          <c:showCatName val="0"/>
          <c:showSerName val="0"/>
          <c:showPercent val="0"/>
          <c:showBubbleSize val="0"/>
        </c:dLbls>
        <c:smooth val="0"/>
        <c:axId val="538169816"/>
        <c:axId val="538171976"/>
        <c:extLst>
          <c:ext xmlns:c15="http://schemas.microsoft.com/office/drawing/2012/chart" uri="{02D57815-91ED-43cb-92C2-25804820EDAC}">
            <c15:filteredLineSeries>
              <c15:ser>
                <c:idx val="2"/>
                <c:order val="0"/>
                <c:tx>
                  <c:strRef>
                    <c:extLst>
                      <c:ext uri="{02D57815-91ED-43cb-92C2-25804820EDAC}">
                        <c15:formulaRef>
                          <c15:sqref>'https://syha.sharepoint.com/sites/TeamAnnaandKev/Shared Documents/Data and Dashboards/Customer Experience/2026-27/[Customer Experience Dashboard 2026-27.xlsx]Complaints &amp; Compensation 26-27'!$A$8</c15:sqref>
                        </c15:formulaRef>
                      </c:ext>
                    </c:extLst>
                    <c:strCache>
                      <c:ptCount val="1"/>
                      <c:pt idx="0">
                        <c:v>Total per month 26-27</c:v>
                      </c:pt>
                    </c:strCache>
                  </c:strRef>
                </c:tx>
                <c:spPr>
                  <a:ln w="28575" cap="rnd">
                    <a:solidFill>
                      <a:schemeClr val="accent2"/>
                    </a:solidFill>
                    <a:round/>
                  </a:ln>
                  <a:effectLst/>
                </c:spPr>
                <c:marker>
                  <c:symbol val="none"/>
                </c:marker>
                <c:cat>
                  <c:strRef>
                    <c:extLst>
                      <c:ext uri="{02D57815-91ED-43cb-92C2-25804820EDAC}">
                        <c15:formulaRef>
                          <c15:sqref>'https://syha.sharepoint.com/sites/TeamAnnaandKev/Shared Documents/Data and Dashboards/Customer Experience/2026-27/[Customer Experience Dashboard 2026-27.xlsx]Complaints &amp; Compensation 26-27'!$B$5:$M$5</c15:sqref>
                        </c15:formulaRef>
                      </c:ext>
                    </c:extLst>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extLst>
                      <c:ext uri="{02D57815-91ED-43cb-92C2-25804820EDAC}">
                        <c15:formulaRef>
                          <c15:sqref>'https://syha.sharepoint.com/sites/TeamAnnaandKev/Shared Documents/Data and Dashboards/Customer Experience/2026-27/[Customer Experience Dashboard 2026-27.xlsx]Complaints &amp; Compensation 26-27'!$B$8:$M$8</c15:sqref>
                        </c15:formulaRef>
                      </c:ext>
                    </c:extLst>
                    <c:numCache>
                      <c:formatCode>General</c:formatCode>
                      <c:ptCount val="12"/>
                    </c:numCache>
                  </c:numRef>
                </c:val>
                <c:smooth val="0"/>
                <c:extLst>
                  <c:ext xmlns:c16="http://schemas.microsoft.com/office/drawing/2014/chart" uri="{C3380CC4-5D6E-409C-BE32-E72D297353CC}">
                    <c16:uniqueId val="{00000003-7B56-4CC9-BEAC-7EA1A991F882}"/>
                  </c:ext>
                </c:extLst>
              </c15:ser>
            </c15:filteredLineSeries>
          </c:ext>
        </c:extLst>
      </c:lineChart>
      <c:catAx>
        <c:axId val="538169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538171976"/>
        <c:crosses val="autoZero"/>
        <c:auto val="1"/>
        <c:lblAlgn val="ctr"/>
        <c:lblOffset val="100"/>
        <c:noMultiLvlLbl val="0"/>
      </c:catAx>
      <c:valAx>
        <c:axId val="538171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538169816"/>
        <c:crosses val="autoZero"/>
        <c:crossBetween val="between"/>
      </c:valAx>
      <c:spPr>
        <a:noFill/>
        <a:ln>
          <a:noFill/>
        </a:ln>
        <a:effectLst/>
      </c:spPr>
    </c:plotArea>
    <c:legend>
      <c:legendPos val="b"/>
      <c:layout>
        <c:manualLayout>
          <c:xMode val="edge"/>
          <c:yMode val="edge"/>
          <c:x val="0.05"/>
          <c:y val="0.90868717044057146"/>
          <c:w val="0.9"/>
          <c:h val="8.3136214677989456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Work Sans" panose="00000500000000000000" pitchFamily="50"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Work Sans" panose="00000500000000000000" pitchFamily="50" charset="0"/>
                <a:ea typeface="+mn-ea"/>
                <a:cs typeface="+mn-cs"/>
              </a:defRPr>
            </a:pPr>
            <a:r>
              <a:rPr lang="en-GB" sz="1200" b="0"/>
              <a:t>Volume of complaints by contractor</a:t>
            </a:r>
          </a:p>
        </c:rich>
      </c:tx>
      <c:layout>
        <c:manualLayout>
          <c:xMode val="edge"/>
          <c:yMode val="edge"/>
          <c:x val="0.30763183011214512"/>
          <c:y val="4.773516519689344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Work Sans" panose="00000500000000000000" pitchFamily="50" charset="0"/>
              <a:ea typeface="+mn-ea"/>
              <a:cs typeface="+mn-cs"/>
            </a:defRPr>
          </a:pPr>
          <a:endParaRPr lang="en-US"/>
        </a:p>
      </c:txPr>
    </c:title>
    <c:autoTitleDeleted val="0"/>
    <c:plotArea>
      <c:layout>
        <c:manualLayout>
          <c:layoutTarget val="inner"/>
          <c:xMode val="edge"/>
          <c:yMode val="edge"/>
          <c:x val="5.2573071394345951E-2"/>
          <c:y val="4.4415517373965693E-2"/>
          <c:w val="0.93019998210450971"/>
          <c:h val="0.75329103235717587"/>
        </c:manualLayout>
      </c:layout>
      <c:barChart>
        <c:barDir val="col"/>
        <c:grouping val="stacked"/>
        <c:varyColors val="0"/>
        <c:ser>
          <c:idx val="0"/>
          <c:order val="0"/>
          <c:tx>
            <c:strRef>
              <c:f>'Complaints by contractor'!$A$2</c:f>
              <c:strCache>
                <c:ptCount val="1"/>
                <c:pt idx="0">
                  <c:v>Ashley and MacDonough</c:v>
                </c:pt>
              </c:strCache>
            </c:strRef>
          </c:tx>
          <c:spPr>
            <a:solidFill>
              <a:srgbClr val="B2BD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contractor'!$B$1:$M$1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contractor'!$B$2:$M$2</c:f>
              <c:numCache>
                <c:formatCode>General</c:formatCode>
                <c:ptCount val="12"/>
                <c:pt idx="0">
                  <c:v>1</c:v>
                </c:pt>
                <c:pt idx="1">
                  <c:v>1</c:v>
                </c:pt>
                <c:pt idx="4">
                  <c:v>1</c:v>
                </c:pt>
                <c:pt idx="6">
                  <c:v>1</c:v>
                </c:pt>
                <c:pt idx="7">
                  <c:v>1</c:v>
                </c:pt>
                <c:pt idx="8">
                  <c:v>4</c:v>
                </c:pt>
                <c:pt idx="9">
                  <c:v>6</c:v>
                </c:pt>
                <c:pt idx="10">
                  <c:v>9</c:v>
                </c:pt>
                <c:pt idx="11">
                  <c:v>2</c:v>
                </c:pt>
              </c:numCache>
            </c:numRef>
          </c:val>
          <c:extLst>
            <c:ext xmlns:c16="http://schemas.microsoft.com/office/drawing/2014/chart" uri="{C3380CC4-5D6E-409C-BE32-E72D297353CC}">
              <c16:uniqueId val="{00000000-7931-4472-AC83-2ACC69062A62}"/>
            </c:ext>
          </c:extLst>
        </c:ser>
        <c:ser>
          <c:idx val="1"/>
          <c:order val="1"/>
          <c:tx>
            <c:strRef>
              <c:f>'Complaints by contractor'!$A$3</c:f>
              <c:strCache>
                <c:ptCount val="1"/>
                <c:pt idx="0">
                  <c:v>BBC</c:v>
                </c:pt>
              </c:strCache>
            </c:strRef>
          </c:tx>
          <c:spPr>
            <a:solidFill>
              <a:srgbClr val="F58D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contractor'!$B$1:$M$1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contractor'!$B$3:$M$3</c:f>
              <c:numCache>
                <c:formatCode>General</c:formatCode>
                <c:ptCount val="12"/>
                <c:pt idx="0">
                  <c:v>2</c:v>
                </c:pt>
                <c:pt idx="1">
                  <c:v>1</c:v>
                </c:pt>
                <c:pt idx="2">
                  <c:v>1</c:v>
                </c:pt>
                <c:pt idx="3">
                  <c:v>1</c:v>
                </c:pt>
                <c:pt idx="4">
                  <c:v>2</c:v>
                </c:pt>
                <c:pt idx="5">
                  <c:v>5</c:v>
                </c:pt>
                <c:pt idx="6">
                  <c:v>2</c:v>
                </c:pt>
                <c:pt idx="7">
                  <c:v>2</c:v>
                </c:pt>
                <c:pt idx="8">
                  <c:v>1</c:v>
                </c:pt>
                <c:pt idx="9">
                  <c:v>1</c:v>
                </c:pt>
                <c:pt idx="10">
                  <c:v>2</c:v>
                </c:pt>
                <c:pt idx="11">
                  <c:v>1</c:v>
                </c:pt>
              </c:numCache>
            </c:numRef>
          </c:val>
          <c:extLst>
            <c:ext xmlns:c16="http://schemas.microsoft.com/office/drawing/2014/chart" uri="{C3380CC4-5D6E-409C-BE32-E72D297353CC}">
              <c16:uniqueId val="{00000001-7931-4472-AC83-2ACC69062A62}"/>
            </c:ext>
          </c:extLst>
        </c:ser>
        <c:ser>
          <c:idx val="2"/>
          <c:order val="2"/>
          <c:tx>
            <c:strRef>
              <c:f>'Complaints by contractor'!$A$4</c:f>
              <c:strCache>
                <c:ptCount val="1"/>
                <c:pt idx="0">
                  <c:v>Other </c:v>
                </c:pt>
              </c:strCache>
            </c:strRef>
          </c:tx>
          <c:spPr>
            <a:solidFill>
              <a:srgbClr val="EDDC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contractor'!$B$1:$M$1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contractor'!$B$4:$M$4</c:f>
              <c:numCache>
                <c:formatCode>General</c:formatCode>
                <c:ptCount val="12"/>
                <c:pt idx="0">
                  <c:v>1</c:v>
                </c:pt>
                <c:pt idx="1">
                  <c:v>1</c:v>
                </c:pt>
                <c:pt idx="2">
                  <c:v>1</c:v>
                </c:pt>
                <c:pt idx="6">
                  <c:v>1</c:v>
                </c:pt>
                <c:pt idx="7">
                  <c:v>1</c:v>
                </c:pt>
                <c:pt idx="8">
                  <c:v>1</c:v>
                </c:pt>
                <c:pt idx="9">
                  <c:v>2</c:v>
                </c:pt>
                <c:pt idx="10">
                  <c:v>1</c:v>
                </c:pt>
                <c:pt idx="11">
                  <c:v>1</c:v>
                </c:pt>
              </c:numCache>
            </c:numRef>
          </c:val>
          <c:extLst>
            <c:ext xmlns:c16="http://schemas.microsoft.com/office/drawing/2014/chart" uri="{C3380CC4-5D6E-409C-BE32-E72D297353CC}">
              <c16:uniqueId val="{00000002-7931-4472-AC83-2ACC69062A62}"/>
            </c:ext>
          </c:extLst>
        </c:ser>
        <c:ser>
          <c:idx val="3"/>
          <c:order val="3"/>
          <c:tx>
            <c:strRef>
              <c:f>'Complaints by contractor'!$A$5</c:f>
              <c:strCache>
                <c:ptCount val="1"/>
                <c:pt idx="0">
                  <c:v>HMT</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contractor'!$B$1:$M$1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contractor'!$B$5:$M$5</c:f>
              <c:numCache>
                <c:formatCode>General</c:formatCode>
                <c:ptCount val="12"/>
                <c:pt idx="0">
                  <c:v>1</c:v>
                </c:pt>
                <c:pt idx="1">
                  <c:v>2</c:v>
                </c:pt>
                <c:pt idx="2">
                  <c:v>1</c:v>
                </c:pt>
                <c:pt idx="3">
                  <c:v>2</c:v>
                </c:pt>
                <c:pt idx="6">
                  <c:v>1</c:v>
                </c:pt>
                <c:pt idx="7">
                  <c:v>5</c:v>
                </c:pt>
                <c:pt idx="8">
                  <c:v>2</c:v>
                </c:pt>
                <c:pt idx="9">
                  <c:v>1</c:v>
                </c:pt>
                <c:pt idx="11">
                  <c:v>2</c:v>
                </c:pt>
              </c:numCache>
            </c:numRef>
          </c:val>
          <c:extLst>
            <c:ext xmlns:c16="http://schemas.microsoft.com/office/drawing/2014/chart" uri="{C3380CC4-5D6E-409C-BE32-E72D297353CC}">
              <c16:uniqueId val="{00000003-7931-4472-AC83-2ACC69062A62}"/>
            </c:ext>
          </c:extLst>
        </c:ser>
        <c:ser>
          <c:idx val="4"/>
          <c:order val="4"/>
          <c:tx>
            <c:strRef>
              <c:f>'Complaints by contractor'!$A$6</c:f>
              <c:strCache>
                <c:ptCount val="1"/>
                <c:pt idx="0">
                  <c:v>NEAT</c:v>
                </c:pt>
              </c:strCache>
            </c:strRef>
          </c:tx>
          <c:spPr>
            <a:solidFill>
              <a:srgbClr val="6DCB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contractor'!$B$1:$M$1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contractor'!$B$6:$M$6</c:f>
              <c:numCache>
                <c:formatCode>General</c:formatCode>
                <c:ptCount val="12"/>
                <c:pt idx="1">
                  <c:v>2</c:v>
                </c:pt>
                <c:pt idx="2">
                  <c:v>2</c:v>
                </c:pt>
                <c:pt idx="8">
                  <c:v>1</c:v>
                </c:pt>
              </c:numCache>
            </c:numRef>
          </c:val>
          <c:extLst>
            <c:ext xmlns:c16="http://schemas.microsoft.com/office/drawing/2014/chart" uri="{C3380CC4-5D6E-409C-BE32-E72D297353CC}">
              <c16:uniqueId val="{00000004-7931-4472-AC83-2ACC69062A62}"/>
            </c:ext>
          </c:extLst>
        </c:ser>
        <c:ser>
          <c:idx val="5"/>
          <c:order val="5"/>
          <c:tx>
            <c:strRef>
              <c:f>'Complaints by contractor'!$A$7</c:f>
              <c:strCache>
                <c:ptCount val="1"/>
                <c:pt idx="0">
                  <c:v>Property Services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contractor'!$B$1:$M$1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contractor'!$B$7:$M$7</c:f>
              <c:numCache>
                <c:formatCode>General</c:formatCode>
                <c:ptCount val="12"/>
                <c:pt idx="0">
                  <c:v>12</c:v>
                </c:pt>
                <c:pt idx="1">
                  <c:v>5</c:v>
                </c:pt>
                <c:pt idx="2">
                  <c:v>19</c:v>
                </c:pt>
                <c:pt idx="3">
                  <c:v>14</c:v>
                </c:pt>
                <c:pt idx="4">
                  <c:v>14</c:v>
                </c:pt>
                <c:pt idx="5">
                  <c:v>12</c:v>
                </c:pt>
                <c:pt idx="6">
                  <c:v>21</c:v>
                </c:pt>
                <c:pt idx="7">
                  <c:v>14</c:v>
                </c:pt>
                <c:pt idx="8">
                  <c:v>12</c:v>
                </c:pt>
                <c:pt idx="9">
                  <c:v>22</c:v>
                </c:pt>
                <c:pt idx="10">
                  <c:v>22</c:v>
                </c:pt>
                <c:pt idx="11">
                  <c:v>20</c:v>
                </c:pt>
              </c:numCache>
            </c:numRef>
          </c:val>
          <c:extLst>
            <c:ext xmlns:c16="http://schemas.microsoft.com/office/drawing/2014/chart" uri="{C3380CC4-5D6E-409C-BE32-E72D297353CC}">
              <c16:uniqueId val="{00000005-7931-4472-AC83-2ACC69062A62}"/>
            </c:ext>
          </c:extLst>
        </c:ser>
        <c:dLbls>
          <c:dLblPos val="ctr"/>
          <c:showLegendKey val="0"/>
          <c:showVal val="1"/>
          <c:showCatName val="0"/>
          <c:showSerName val="0"/>
          <c:showPercent val="0"/>
          <c:showBubbleSize val="0"/>
        </c:dLbls>
        <c:gapWidth val="106"/>
        <c:overlap val="100"/>
        <c:axId val="859568904"/>
        <c:axId val="859574808"/>
      </c:barChart>
      <c:catAx>
        <c:axId val="859568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Work Sans" panose="00000500000000000000" pitchFamily="50" charset="0"/>
                <a:ea typeface="+mn-ea"/>
                <a:cs typeface="+mn-cs"/>
              </a:defRPr>
            </a:pPr>
            <a:endParaRPr lang="en-US"/>
          </a:p>
        </c:txPr>
        <c:crossAx val="859574808"/>
        <c:crosses val="autoZero"/>
        <c:auto val="1"/>
        <c:lblAlgn val="ctr"/>
        <c:lblOffset val="100"/>
        <c:noMultiLvlLbl val="0"/>
      </c:catAx>
      <c:valAx>
        <c:axId val="859574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Work Sans" panose="00000500000000000000" pitchFamily="50" charset="0"/>
                <a:ea typeface="+mn-ea"/>
                <a:cs typeface="+mn-cs"/>
              </a:defRPr>
            </a:pPr>
            <a:endParaRPr lang="en-US"/>
          </a:p>
        </c:txPr>
        <c:crossAx val="859568904"/>
        <c:crosses val="autoZero"/>
        <c:crossBetween val="between"/>
      </c:valAx>
      <c:spPr>
        <a:noFill/>
        <a:ln>
          <a:noFill/>
        </a:ln>
        <a:effectLst/>
      </c:spPr>
    </c:plotArea>
    <c:legend>
      <c:legendPos val="b"/>
      <c:layout>
        <c:manualLayout>
          <c:xMode val="edge"/>
          <c:yMode val="edge"/>
          <c:x val="5.4410210037416647E-2"/>
          <c:y val="0.90466496826923304"/>
          <c:w val="0.89999987264143311"/>
          <c:h val="8.325058312450683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Work Sans"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Work Sans" panose="00000500000000000000" pitchFamily="50"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r>
              <a:rPr lang="en-US"/>
              <a:t>Number of complaints per 100 orders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endParaRPr lang="en-US"/>
        </a:p>
      </c:txPr>
    </c:title>
    <c:autoTitleDeleted val="0"/>
    <c:plotArea>
      <c:layout>
        <c:manualLayout>
          <c:layoutTarget val="inner"/>
          <c:xMode val="edge"/>
          <c:yMode val="edge"/>
          <c:x val="5.8715603971601082E-2"/>
          <c:y val="9.9724892548490859E-2"/>
          <c:w val="0.92310365210411205"/>
          <c:h val="0.70122807068586501"/>
        </c:manualLayout>
      </c:layout>
      <c:barChart>
        <c:barDir val="col"/>
        <c:grouping val="clustered"/>
        <c:varyColors val="0"/>
        <c:ser>
          <c:idx val="1"/>
          <c:order val="1"/>
          <c:tx>
            <c:strRef>
              <c:f>'complaints per 100 orders'!$C$1:$C$2</c:f>
              <c:strCache>
                <c:ptCount val="2"/>
                <c:pt idx="0">
                  <c:v>2021/22</c:v>
                </c:pt>
                <c:pt idx="1">
                  <c:v>Ordrers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per 100 orders'!$A$3:$A$4,'complaints per 100 orders'!$A$6:$A$7)</c:f>
              <c:strCache>
                <c:ptCount val="4"/>
                <c:pt idx="0">
                  <c:v>BBC</c:v>
                </c:pt>
                <c:pt idx="1">
                  <c:v>HMT</c:v>
                </c:pt>
                <c:pt idx="2">
                  <c:v>Ashley and McDonough </c:v>
                </c:pt>
                <c:pt idx="3">
                  <c:v>Others </c:v>
                </c:pt>
              </c:strCache>
              <c:extLst/>
            </c:strRef>
          </c:cat>
          <c:val>
            <c:numRef>
              <c:f>('complaints per 100 orders'!$C$3:$C$4,'complaints per 100 orders'!$C$6:$C$7)</c:f>
              <c:extLst/>
            </c:numRef>
          </c:val>
          <c:extLst>
            <c:ext xmlns:c16="http://schemas.microsoft.com/office/drawing/2014/chart" uri="{C3380CC4-5D6E-409C-BE32-E72D297353CC}">
              <c16:uniqueId val="{00000000-3825-4A86-92A8-BFDF2F683843}"/>
            </c:ext>
          </c:extLst>
        </c:ser>
        <c:ser>
          <c:idx val="2"/>
          <c:order val="2"/>
          <c:tx>
            <c:strRef>
              <c:f>'complaints per 100 orders'!$D$1:$D$2</c:f>
              <c:strCache>
                <c:ptCount val="2"/>
                <c:pt idx="0">
                  <c:v>2021/22</c:v>
                </c:pt>
                <c:pt idx="1">
                  <c:v>Complaints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per 100 orders'!$A$3:$A$4,'complaints per 100 orders'!$A$6:$A$7)</c:f>
              <c:strCache>
                <c:ptCount val="4"/>
                <c:pt idx="0">
                  <c:v>BBC</c:v>
                </c:pt>
                <c:pt idx="1">
                  <c:v>HMT</c:v>
                </c:pt>
                <c:pt idx="2">
                  <c:v>Ashley and McDonough </c:v>
                </c:pt>
                <c:pt idx="3">
                  <c:v>Others </c:v>
                </c:pt>
              </c:strCache>
              <c:extLst/>
            </c:strRef>
          </c:cat>
          <c:val>
            <c:numRef>
              <c:f>('complaints per 100 orders'!$D$3:$D$4,'complaints per 100 orders'!$D$6:$D$7)</c:f>
              <c:extLst/>
            </c:numRef>
          </c:val>
          <c:extLst>
            <c:ext xmlns:c16="http://schemas.microsoft.com/office/drawing/2014/chart" uri="{C3380CC4-5D6E-409C-BE32-E72D297353CC}">
              <c16:uniqueId val="{00000001-3825-4A86-92A8-BFDF2F683843}"/>
            </c:ext>
          </c:extLst>
        </c:ser>
        <c:ser>
          <c:idx val="4"/>
          <c:order val="4"/>
          <c:tx>
            <c:strRef>
              <c:f>'complaints per 100 orders'!$F$1:$F$2</c:f>
              <c:strCache>
                <c:ptCount val="2"/>
                <c:pt idx="0">
                  <c:v>2022/23</c:v>
                </c:pt>
                <c:pt idx="1">
                  <c:v>Orders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per 100 orders'!$A$3:$A$4,'complaints per 100 orders'!$A$6:$A$7)</c:f>
              <c:strCache>
                <c:ptCount val="4"/>
                <c:pt idx="0">
                  <c:v>BBC</c:v>
                </c:pt>
                <c:pt idx="1">
                  <c:v>HMT</c:v>
                </c:pt>
                <c:pt idx="2">
                  <c:v>Ashley and McDonough </c:v>
                </c:pt>
                <c:pt idx="3">
                  <c:v>Others </c:v>
                </c:pt>
              </c:strCache>
              <c:extLst/>
            </c:strRef>
          </c:cat>
          <c:val>
            <c:numRef>
              <c:f>('complaints per 100 orders'!$F$3:$F$4,'complaints per 100 orders'!$F$6:$F$7)</c:f>
              <c:extLst/>
            </c:numRef>
          </c:val>
          <c:extLst>
            <c:ext xmlns:c16="http://schemas.microsoft.com/office/drawing/2014/chart" uri="{C3380CC4-5D6E-409C-BE32-E72D297353CC}">
              <c16:uniqueId val="{00000002-3825-4A86-92A8-BFDF2F683843}"/>
            </c:ext>
          </c:extLst>
        </c:ser>
        <c:ser>
          <c:idx val="5"/>
          <c:order val="5"/>
          <c:tx>
            <c:strRef>
              <c:f>'complaints per 100 orders'!$G$1:$G$2</c:f>
              <c:strCache>
                <c:ptCount val="2"/>
                <c:pt idx="0">
                  <c:v>2022/23</c:v>
                </c:pt>
                <c:pt idx="1">
                  <c:v>Complaints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per 100 orders'!$A$3:$A$4,'complaints per 100 orders'!$A$6:$A$7)</c:f>
              <c:strCache>
                <c:ptCount val="4"/>
                <c:pt idx="0">
                  <c:v>BBC</c:v>
                </c:pt>
                <c:pt idx="1">
                  <c:v>HMT</c:v>
                </c:pt>
                <c:pt idx="2">
                  <c:v>Ashley and McDonough </c:v>
                </c:pt>
                <c:pt idx="3">
                  <c:v>Others </c:v>
                </c:pt>
              </c:strCache>
              <c:extLst/>
            </c:strRef>
          </c:cat>
          <c:val>
            <c:numRef>
              <c:f>('complaints per 100 orders'!$G$3:$G$4,'complaints per 100 orders'!$G$6:$G$7)</c:f>
              <c:extLst/>
            </c:numRef>
          </c:val>
          <c:extLst>
            <c:ext xmlns:c16="http://schemas.microsoft.com/office/drawing/2014/chart" uri="{C3380CC4-5D6E-409C-BE32-E72D297353CC}">
              <c16:uniqueId val="{00000003-3825-4A86-92A8-BFDF2F683843}"/>
            </c:ext>
          </c:extLst>
        </c:ser>
        <c:ser>
          <c:idx val="6"/>
          <c:order val="6"/>
          <c:tx>
            <c:strRef>
              <c:f>'complaints per 100 orders'!$H$1:$H$2</c:f>
              <c:strCache>
                <c:ptCount val="2"/>
                <c:pt idx="0">
                  <c:v>2023/24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per 100 orders'!$A$3:$A$4,'complaints per 100 orders'!$A$6:$A$7)</c:f>
              <c:strCache>
                <c:ptCount val="4"/>
                <c:pt idx="0">
                  <c:v>BBC</c:v>
                </c:pt>
                <c:pt idx="1">
                  <c:v>HMT</c:v>
                </c:pt>
                <c:pt idx="2">
                  <c:v>Ashley and McDonough </c:v>
                </c:pt>
                <c:pt idx="3">
                  <c:v>Others </c:v>
                </c:pt>
              </c:strCache>
              <c:extLst/>
            </c:strRef>
          </c:cat>
          <c:val>
            <c:numRef>
              <c:f>('complaints per 100 orders'!$H$3:$H$4,'complaints per 100 orders'!$H$6:$H$7)</c:f>
              <c:numCache>
                <c:formatCode>General</c:formatCode>
                <c:ptCount val="4"/>
                <c:pt idx="0">
                  <c:v>0.42</c:v>
                </c:pt>
                <c:pt idx="1">
                  <c:v>0.21</c:v>
                </c:pt>
                <c:pt idx="2">
                  <c:v>0.77</c:v>
                </c:pt>
                <c:pt idx="3">
                  <c:v>0.2</c:v>
                </c:pt>
              </c:numCache>
              <c:extLst/>
            </c:numRef>
          </c:val>
          <c:extLst>
            <c:ext xmlns:c16="http://schemas.microsoft.com/office/drawing/2014/chart" uri="{C3380CC4-5D6E-409C-BE32-E72D297353CC}">
              <c16:uniqueId val="{00000004-3825-4A86-92A8-BFDF2F683843}"/>
            </c:ext>
          </c:extLst>
        </c:ser>
        <c:ser>
          <c:idx val="7"/>
          <c:order val="7"/>
          <c:tx>
            <c:strRef>
              <c:f>'complaints per 100 orders'!$K$1:$K$2</c:f>
              <c:strCache>
                <c:ptCount val="2"/>
                <c:pt idx="0">
                  <c:v>2024/25</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per 100 orders'!$A$3:$A$4,'complaints per 100 orders'!$A$6:$A$7)</c:f>
              <c:strCache>
                <c:ptCount val="4"/>
                <c:pt idx="0">
                  <c:v>BBC</c:v>
                </c:pt>
                <c:pt idx="1">
                  <c:v>HMT</c:v>
                </c:pt>
                <c:pt idx="2">
                  <c:v>Ashley and McDonough </c:v>
                </c:pt>
                <c:pt idx="3">
                  <c:v>Others </c:v>
                </c:pt>
              </c:strCache>
              <c:extLst/>
            </c:strRef>
          </c:cat>
          <c:val>
            <c:numRef>
              <c:f>('complaints per 100 orders'!$K$3:$K$4,'complaints per 100 orders'!$K$6:$K$7)</c:f>
              <c:numCache>
                <c:formatCode>General</c:formatCode>
                <c:ptCount val="4"/>
                <c:pt idx="0">
                  <c:v>0.64</c:v>
                </c:pt>
                <c:pt idx="1">
                  <c:v>0.23</c:v>
                </c:pt>
                <c:pt idx="2">
                  <c:v>0.59</c:v>
                </c:pt>
                <c:pt idx="3">
                  <c:v>0.18</c:v>
                </c:pt>
              </c:numCache>
              <c:extLst/>
            </c:numRef>
          </c:val>
          <c:extLst>
            <c:ext xmlns:c16="http://schemas.microsoft.com/office/drawing/2014/chart" uri="{C3380CC4-5D6E-409C-BE32-E72D297353CC}">
              <c16:uniqueId val="{00000005-3825-4A86-92A8-BFDF2F683843}"/>
            </c:ext>
          </c:extLst>
        </c:ser>
        <c:ser>
          <c:idx val="8"/>
          <c:order val="8"/>
          <c:tx>
            <c:strRef>
              <c:f>'complaints per 100 orders'!$N$1</c:f>
              <c:strCache>
                <c:ptCount val="1"/>
                <c:pt idx="0">
                  <c:v>2025/26</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BBC</c:v>
              </c:pt>
              <c:pt idx="1">
                <c:v>HMT</c:v>
              </c:pt>
              <c:pt idx="2">
                <c:v>Ashley and McDonough </c:v>
              </c:pt>
              <c:pt idx="3">
                <c:v>Others </c:v>
              </c:pt>
              <c:extLst>
                <c:ext xmlns:c15="http://schemas.microsoft.com/office/drawing/2012/chart" uri="{02D57815-91ED-43cb-92C2-25804820EDAC}">
                  <c15:autoCat val="1"/>
                </c:ext>
              </c:extLst>
            </c:strLit>
          </c:cat>
          <c:val>
            <c:numRef>
              <c:f>('complaints per 100 orders'!$N$3:$N$4,'complaints per 100 orders'!$N$6:$N$7)</c:f>
              <c:numCache>
                <c:formatCode>General</c:formatCode>
                <c:ptCount val="4"/>
                <c:pt idx="0">
                  <c:v>0.51</c:v>
                </c:pt>
                <c:pt idx="1">
                  <c:v>0.18</c:v>
                </c:pt>
                <c:pt idx="2">
                  <c:v>0.54</c:v>
                </c:pt>
                <c:pt idx="3">
                  <c:v>0.13</c:v>
                </c:pt>
              </c:numCache>
              <c:extLst/>
            </c:numRef>
          </c:val>
          <c:extLst>
            <c:ext xmlns:c16="http://schemas.microsoft.com/office/drawing/2014/chart" uri="{C3380CC4-5D6E-409C-BE32-E72D297353CC}">
              <c16:uniqueId val="{00000006-3825-4A86-92A8-BFDF2F683843}"/>
            </c:ext>
          </c:extLst>
        </c:ser>
        <c:dLbls>
          <c:dLblPos val="outEnd"/>
          <c:showLegendKey val="0"/>
          <c:showVal val="1"/>
          <c:showCatName val="0"/>
          <c:showSerName val="0"/>
          <c:showPercent val="0"/>
          <c:showBubbleSize val="0"/>
        </c:dLbls>
        <c:gapWidth val="219"/>
        <c:overlap val="-27"/>
        <c:axId val="2013736096"/>
        <c:axId val="2013728536"/>
        <c:extLst>
          <c:ext xmlns:c15="http://schemas.microsoft.com/office/drawing/2012/chart" uri="{02D57815-91ED-43cb-92C2-25804820EDAC}">
            <c15:filteredBarSeries>
              <c15:ser>
                <c:idx val="0"/>
                <c:order val="0"/>
                <c:tx>
                  <c:strRef>
                    <c:extLst>
                      <c:ext uri="{02D57815-91ED-43cb-92C2-25804820EDAC}">
                        <c15:formulaRef>
                          <c15:sqref>'complaints per 100 orders'!$B$1:$B$2</c15:sqref>
                        </c15:formulaRef>
                      </c:ext>
                    </c:extLst>
                    <c:strCache>
                      <c:ptCount val="2"/>
                      <c:pt idx="0">
                        <c:v>2021/22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('complaints per 100 orders'!$A$3:$A$4,'complaints per 100 orders'!$A$6:$A$7)</c15:sqref>
                        </c15:formulaRef>
                      </c:ext>
                    </c:extLst>
                    <c:strCache>
                      <c:ptCount val="4"/>
                      <c:pt idx="0">
                        <c:v>BBC</c:v>
                      </c:pt>
                      <c:pt idx="1">
                        <c:v>HMT</c:v>
                      </c:pt>
                      <c:pt idx="2">
                        <c:v>Ashley and McDonough </c:v>
                      </c:pt>
                      <c:pt idx="3">
                        <c:v>Others </c:v>
                      </c:pt>
                    </c:strCache>
                  </c:strRef>
                </c:cat>
                <c:val>
                  <c:numRef>
                    <c:extLst>
                      <c:ext uri="{02D57815-91ED-43cb-92C2-25804820EDAC}">
                        <c15:formulaRef>
                          <c15:sqref>('complaints per 100 orders'!$B$3:$B$4,'complaints per 100 orders'!$B$6:$B$7)</c15:sqref>
                        </c15:formulaRef>
                      </c:ext>
                    </c:extLst>
                    <c:numCache>
                      <c:formatCode>General</c:formatCode>
                      <c:ptCount val="4"/>
                      <c:pt idx="0">
                        <c:v>0.7</c:v>
                      </c:pt>
                      <c:pt idx="1">
                        <c:v>0.05</c:v>
                      </c:pt>
                      <c:pt idx="2">
                        <c:v>0</c:v>
                      </c:pt>
                      <c:pt idx="3">
                        <c:v>0.03</c:v>
                      </c:pt>
                    </c:numCache>
                  </c:numRef>
                </c:val>
                <c:extLst>
                  <c:ext xmlns:c16="http://schemas.microsoft.com/office/drawing/2014/chart" uri="{C3380CC4-5D6E-409C-BE32-E72D297353CC}">
                    <c16:uniqueId val="{00000007-3825-4A86-92A8-BFDF2F683843}"/>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'complaints per 100 orders'!$E$1:$E$2</c15:sqref>
                        </c15:formulaRef>
                      </c:ext>
                    </c:extLst>
                    <c:strCache>
                      <c:ptCount val="2"/>
                      <c:pt idx="0">
                        <c:v>2022/23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('complaints per 100 orders'!$A$3:$A$4,'complaints per 100 orders'!$A$6:$A$7)</c15:sqref>
                        </c15:formulaRef>
                      </c:ext>
                    </c:extLst>
                    <c:strCache>
                      <c:ptCount val="4"/>
                      <c:pt idx="0">
                        <c:v>BBC</c:v>
                      </c:pt>
                      <c:pt idx="1">
                        <c:v>HMT</c:v>
                      </c:pt>
                      <c:pt idx="2">
                        <c:v>Ashley and McDonough </c:v>
                      </c:pt>
                      <c:pt idx="3">
                        <c:v>Others </c:v>
                      </c:pt>
                    </c:strCache>
                  </c:strRef>
                </c:cat>
                <c:val>
                  <c:numRef>
                    <c:extLst xmlns:c15="http://schemas.microsoft.com/office/drawing/2012/chart">
                      <c:ext xmlns:c15="http://schemas.microsoft.com/office/drawing/2012/chart" uri="{02D57815-91ED-43cb-92C2-25804820EDAC}">
                        <c15:formulaRef>
                          <c15:sqref>('complaints per 100 orders'!$E$3:$E$4,'complaints per 100 orders'!$E$6:$E$7)</c15:sqref>
                        </c15:formulaRef>
                      </c:ext>
                    </c:extLst>
                    <c:numCache>
                      <c:formatCode>0.00</c:formatCode>
                      <c:ptCount val="4"/>
                      <c:pt idx="0">
                        <c:v>0.48973880597014929</c:v>
                      </c:pt>
                      <c:pt idx="1">
                        <c:v>0.11411182959300113</c:v>
                      </c:pt>
                      <c:pt idx="2">
                        <c:v>1.3215859030837005</c:v>
                      </c:pt>
                      <c:pt idx="3">
                        <c:v>0.28694404591104733</c:v>
                      </c:pt>
                    </c:numCache>
                  </c:numRef>
                </c:val>
                <c:extLst xmlns:c15="http://schemas.microsoft.com/office/drawing/2012/chart">
                  <c:ext xmlns:c16="http://schemas.microsoft.com/office/drawing/2014/chart" uri="{C3380CC4-5D6E-409C-BE32-E72D297353CC}">
                    <c16:uniqueId val="{00000008-3825-4A86-92A8-BFDF2F683843}"/>
                  </c:ext>
                </c:extLst>
              </c15:ser>
            </c15:filteredBarSeries>
          </c:ext>
        </c:extLst>
      </c:barChart>
      <c:catAx>
        <c:axId val="201373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2013728536"/>
        <c:crosses val="autoZero"/>
        <c:auto val="1"/>
        <c:lblAlgn val="ctr"/>
        <c:lblOffset val="100"/>
        <c:noMultiLvlLbl val="0"/>
      </c:catAx>
      <c:valAx>
        <c:axId val="2013728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201373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Work Sans" panose="00000500000000000000" pitchFamily="50"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Work Sans" panose="00000500000000000000" pitchFamily="50" charset="0"/>
                <a:ea typeface="+mn-ea"/>
                <a:cs typeface="+mn-cs"/>
              </a:defRPr>
            </a:pPr>
            <a:r>
              <a:rPr lang="en-GB" sz="1200" b="1"/>
              <a:t>Root cause of complaints recorded</a:t>
            </a:r>
          </a:p>
        </c:rich>
      </c:tx>
      <c:layout>
        <c:manualLayout>
          <c:xMode val="edge"/>
          <c:yMode val="edge"/>
          <c:x val="0.32436898535788167"/>
          <c:y val="0.10991855753850488"/>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Work Sans" panose="00000500000000000000" pitchFamily="50" charset="0"/>
              <a:ea typeface="+mn-ea"/>
              <a:cs typeface="+mn-cs"/>
            </a:defRPr>
          </a:pPr>
          <a:endParaRPr lang="en-US"/>
        </a:p>
      </c:txPr>
    </c:title>
    <c:autoTitleDeleted val="0"/>
    <c:plotArea>
      <c:layout>
        <c:manualLayout>
          <c:layoutTarget val="inner"/>
          <c:xMode val="edge"/>
          <c:yMode val="edge"/>
          <c:x val="7.9247594050743664E-2"/>
          <c:y val="0.17171296296296296"/>
          <c:w val="0.89019685039370078"/>
          <c:h val="0.53703776611256926"/>
        </c:manualLayout>
      </c:layout>
      <c:barChart>
        <c:barDir val="col"/>
        <c:grouping val="stacked"/>
        <c:varyColors val="0"/>
        <c:ser>
          <c:idx val="0"/>
          <c:order val="0"/>
          <c:tx>
            <c:strRef>
              <c:f>'Root Cause'!$A$2</c:f>
              <c:strCache>
                <c:ptCount val="1"/>
                <c:pt idx="0">
                  <c:v>Estate &amp; N'hood Maint</c:v>
                </c:pt>
              </c:strCache>
            </c:strRef>
          </c:tx>
          <c:spPr>
            <a:solidFill>
              <a:srgbClr val="ABE1F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Cause'!$B$2:$I$2,'Root Cause'!$K$2:$O$2)</c:f>
              <c:numCache>
                <c:formatCode>General</c:formatCode>
                <c:ptCount val="5"/>
                <c:pt idx="0">
                  <c:v>7</c:v>
                </c:pt>
                <c:pt idx="1">
                  <c:v>6</c:v>
                </c:pt>
                <c:pt idx="2">
                  <c:v>12</c:v>
                </c:pt>
                <c:pt idx="3">
                  <c:v>11</c:v>
                </c:pt>
                <c:pt idx="4">
                  <c:v>4</c:v>
                </c:pt>
              </c:numCache>
              <c:extLst/>
            </c:numRef>
          </c:val>
          <c:extLst>
            <c:ext xmlns:c16="http://schemas.microsoft.com/office/drawing/2014/chart" uri="{C3380CC4-5D6E-409C-BE32-E72D297353CC}">
              <c16:uniqueId val="{00000000-9E96-4D5F-B243-C8A369E24E9E}"/>
            </c:ext>
          </c:extLst>
        </c:ser>
        <c:ser>
          <c:idx val="1"/>
          <c:order val="1"/>
          <c:tx>
            <c:strRef>
              <c:f>'Root Cause'!$A$3</c:f>
              <c:strCache>
                <c:ptCount val="1"/>
                <c:pt idx="0">
                  <c:v>Staff Behaviour</c:v>
                </c:pt>
              </c:strCache>
            </c:strRef>
          </c:tx>
          <c:spPr>
            <a:solidFill>
              <a:srgbClr val="EDDC5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Cause'!$B$3:$I$3,'Root Cause'!$K$3:$O$3)</c:f>
              <c:numCache>
                <c:formatCode>General</c:formatCode>
                <c:ptCount val="5"/>
                <c:pt idx="0">
                  <c:v>14</c:v>
                </c:pt>
                <c:pt idx="1">
                  <c:v>19</c:v>
                </c:pt>
                <c:pt idx="2">
                  <c:v>18</c:v>
                </c:pt>
                <c:pt idx="3">
                  <c:v>25</c:v>
                </c:pt>
                <c:pt idx="4">
                  <c:v>19</c:v>
                </c:pt>
              </c:numCache>
              <c:extLst/>
            </c:numRef>
          </c:val>
          <c:extLst>
            <c:ext xmlns:c16="http://schemas.microsoft.com/office/drawing/2014/chart" uri="{C3380CC4-5D6E-409C-BE32-E72D297353CC}">
              <c16:uniqueId val="{00000001-9E96-4D5F-B243-C8A369E24E9E}"/>
            </c:ext>
          </c:extLst>
        </c:ser>
        <c:ser>
          <c:idx val="2"/>
          <c:order val="2"/>
          <c:tx>
            <c:strRef>
              <c:f>'Root Cause'!$A$4</c:f>
              <c:strCache>
                <c:ptCount val="1"/>
                <c:pt idx="0">
                  <c:v>Other</c:v>
                </c:pt>
              </c:strCache>
            </c:strRef>
          </c:tx>
          <c:spPr>
            <a:solidFill>
              <a:srgbClr val="827CB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Cause'!$B$4:$I$4,'Root Cause'!$K$4:$O$4)</c:f>
              <c:numCache>
                <c:formatCode>General</c:formatCode>
                <c:ptCount val="5"/>
                <c:pt idx="0">
                  <c:v>12</c:v>
                </c:pt>
                <c:pt idx="2">
                  <c:v>10</c:v>
                </c:pt>
              </c:numCache>
              <c:extLst/>
            </c:numRef>
          </c:val>
          <c:extLst>
            <c:ext xmlns:c16="http://schemas.microsoft.com/office/drawing/2014/chart" uri="{C3380CC4-5D6E-409C-BE32-E72D297353CC}">
              <c16:uniqueId val="{00000002-9E96-4D5F-B243-C8A369E24E9E}"/>
            </c:ext>
          </c:extLst>
        </c:ser>
        <c:ser>
          <c:idx val="3"/>
          <c:order val="3"/>
          <c:tx>
            <c:strRef>
              <c:f>'Root Cause'!$A$5</c:f>
              <c:strCache>
                <c:ptCount val="1"/>
                <c:pt idx="0">
                  <c:v>Quality of Work</c:v>
                </c:pt>
              </c:strCache>
            </c:strRef>
          </c:tx>
          <c:spPr>
            <a:solidFill>
              <a:srgbClr val="9B9B9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Cause'!$B$5:$I$5,'Root Cause'!$K$5:$O$5)</c:f>
              <c:numCache>
                <c:formatCode>General</c:formatCode>
                <c:ptCount val="5"/>
                <c:pt idx="0">
                  <c:v>24</c:v>
                </c:pt>
                <c:pt idx="1">
                  <c:v>37</c:v>
                </c:pt>
                <c:pt idx="2">
                  <c:v>34</c:v>
                </c:pt>
                <c:pt idx="3">
                  <c:v>33</c:v>
                </c:pt>
                <c:pt idx="4">
                  <c:v>27</c:v>
                </c:pt>
              </c:numCache>
              <c:extLst/>
            </c:numRef>
          </c:val>
          <c:extLst>
            <c:ext xmlns:c16="http://schemas.microsoft.com/office/drawing/2014/chart" uri="{C3380CC4-5D6E-409C-BE32-E72D297353CC}">
              <c16:uniqueId val="{00000003-9E96-4D5F-B243-C8A369E24E9E}"/>
            </c:ext>
          </c:extLst>
        </c:ser>
        <c:ser>
          <c:idx val="4"/>
          <c:order val="4"/>
          <c:tx>
            <c:strRef>
              <c:f>'Root Cause'!$A$6</c:f>
              <c:strCache>
                <c:ptCount val="1"/>
                <c:pt idx="0">
                  <c:v>Quality of Housing</c:v>
                </c:pt>
              </c:strCache>
            </c:strRef>
          </c:tx>
          <c:spPr>
            <a:solidFill>
              <a:srgbClr val="6DCB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Cause'!$B$6:$I$6,'Root Cause'!$K$6:$O$6)</c:f>
              <c:numCache>
                <c:formatCode>General</c:formatCode>
                <c:ptCount val="5"/>
                <c:pt idx="0">
                  <c:v>31</c:v>
                </c:pt>
                <c:pt idx="1">
                  <c:v>35</c:v>
                </c:pt>
                <c:pt idx="2">
                  <c:v>53</c:v>
                </c:pt>
                <c:pt idx="3">
                  <c:v>70</c:v>
                </c:pt>
                <c:pt idx="4">
                  <c:v>66</c:v>
                </c:pt>
              </c:numCache>
              <c:extLst/>
            </c:numRef>
          </c:val>
          <c:extLst>
            <c:ext xmlns:c16="http://schemas.microsoft.com/office/drawing/2014/chart" uri="{C3380CC4-5D6E-409C-BE32-E72D297353CC}">
              <c16:uniqueId val="{00000004-9E96-4D5F-B243-C8A369E24E9E}"/>
            </c:ext>
          </c:extLst>
        </c:ser>
        <c:ser>
          <c:idx val="5"/>
          <c:order val="5"/>
          <c:tx>
            <c:strRef>
              <c:f>'Root Cause'!$A$7</c:f>
              <c:strCache>
                <c:ptCount val="1"/>
                <c:pt idx="0">
                  <c:v>Customer Care</c:v>
                </c:pt>
              </c:strCache>
            </c:strRef>
          </c:tx>
          <c:spPr>
            <a:solidFill>
              <a:srgbClr val="F58D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Cause'!$B$7:$I$7,'Root Cause'!$K$7:$O$7)</c:f>
              <c:numCache>
                <c:formatCode>General</c:formatCode>
                <c:ptCount val="5"/>
                <c:pt idx="0">
                  <c:v>79</c:v>
                </c:pt>
                <c:pt idx="1">
                  <c:v>77</c:v>
                </c:pt>
                <c:pt idx="2">
                  <c:v>58</c:v>
                </c:pt>
                <c:pt idx="3">
                  <c:v>109</c:v>
                </c:pt>
                <c:pt idx="4">
                  <c:v>97</c:v>
                </c:pt>
              </c:numCache>
              <c:extLst/>
            </c:numRef>
          </c:val>
          <c:extLst>
            <c:ext xmlns:c16="http://schemas.microsoft.com/office/drawing/2014/chart" uri="{C3380CC4-5D6E-409C-BE32-E72D297353CC}">
              <c16:uniqueId val="{00000005-9E96-4D5F-B243-C8A369E24E9E}"/>
            </c:ext>
          </c:extLst>
        </c:ser>
        <c:ser>
          <c:idx val="6"/>
          <c:order val="6"/>
          <c:tx>
            <c:strRef>
              <c:f>'Root Cause'!$A$8</c:f>
              <c:strCache>
                <c:ptCount val="1"/>
                <c:pt idx="0">
                  <c:v>Responsiveness</c:v>
                </c:pt>
              </c:strCache>
            </c:strRef>
          </c:tx>
          <c:spPr>
            <a:solidFill>
              <a:srgbClr val="93B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('Root Cause'!$B$1:$I$1,'Root Cause'!$K$1:$O$1)</c:f>
              <c:strCache>
                <c:ptCount val="5"/>
                <c:pt idx="0">
                  <c:v>2021/22</c:v>
                </c:pt>
                <c:pt idx="1">
                  <c:v>2022/23</c:v>
                </c:pt>
                <c:pt idx="2">
                  <c:v>2023/24</c:v>
                </c:pt>
                <c:pt idx="3">
                  <c:v>2024/25</c:v>
                </c:pt>
                <c:pt idx="4">
                  <c:v>2025/26</c:v>
                </c:pt>
              </c:strCache>
              <c:extLst/>
            </c:strRef>
          </c:cat>
          <c:val>
            <c:numRef>
              <c:f>('Root Cause'!$B$8:$I$8,'Root Cause'!$K$8:$O$8)</c:f>
              <c:numCache>
                <c:formatCode>General</c:formatCode>
                <c:ptCount val="5"/>
                <c:pt idx="0">
                  <c:v>117</c:v>
                </c:pt>
                <c:pt idx="1">
                  <c:v>112</c:v>
                </c:pt>
                <c:pt idx="2">
                  <c:v>76</c:v>
                </c:pt>
                <c:pt idx="3">
                  <c:v>81</c:v>
                </c:pt>
                <c:pt idx="4">
                  <c:v>103</c:v>
                </c:pt>
              </c:numCache>
              <c:extLst/>
            </c:numRef>
          </c:val>
          <c:extLst>
            <c:ext xmlns:c16="http://schemas.microsoft.com/office/drawing/2014/chart" uri="{C3380CC4-5D6E-409C-BE32-E72D297353CC}">
              <c16:uniqueId val="{00000006-9E96-4D5F-B243-C8A369E24E9E}"/>
            </c:ext>
          </c:extLst>
        </c:ser>
        <c:dLbls>
          <c:dLblPos val="ctr"/>
          <c:showLegendKey val="0"/>
          <c:showVal val="1"/>
          <c:showCatName val="0"/>
          <c:showSerName val="0"/>
          <c:showPercent val="0"/>
          <c:showBubbleSize val="0"/>
        </c:dLbls>
        <c:gapWidth val="150"/>
        <c:overlap val="100"/>
        <c:axId val="718011376"/>
        <c:axId val="718009408"/>
      </c:barChart>
      <c:catAx>
        <c:axId val="718011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Work Sans" panose="00000500000000000000" pitchFamily="50" charset="0"/>
                <a:ea typeface="+mn-ea"/>
                <a:cs typeface="+mn-cs"/>
              </a:defRPr>
            </a:pPr>
            <a:endParaRPr lang="en-US"/>
          </a:p>
        </c:txPr>
        <c:crossAx val="718009408"/>
        <c:crosses val="autoZero"/>
        <c:auto val="1"/>
        <c:lblAlgn val="ctr"/>
        <c:lblOffset val="100"/>
        <c:noMultiLvlLbl val="0"/>
      </c:catAx>
      <c:valAx>
        <c:axId val="718009408"/>
        <c:scaling>
          <c:orientation val="minMax"/>
          <c:max val="3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Work Sans" panose="00000500000000000000" pitchFamily="50" charset="0"/>
                <a:ea typeface="+mn-ea"/>
                <a:cs typeface="+mn-cs"/>
              </a:defRPr>
            </a:pPr>
            <a:endParaRPr lang="en-US"/>
          </a:p>
        </c:txPr>
        <c:crossAx val="718011376"/>
        <c:crosses val="autoZero"/>
        <c:crossBetween val="between"/>
        <c:majorUnit val="50"/>
      </c:valAx>
      <c:spPr>
        <a:noFill/>
        <a:ln>
          <a:noFill/>
        </a:ln>
        <a:effectLst/>
      </c:spPr>
    </c:plotArea>
    <c:legend>
      <c:legendPos val="b"/>
      <c:layout>
        <c:manualLayout>
          <c:xMode val="edge"/>
          <c:yMode val="edge"/>
          <c:x val="1.8190083797562414E-3"/>
          <c:y val="0.77839972076762287"/>
          <c:w val="0.98249197273034305"/>
          <c:h val="6.25665348492024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Work Sans" panose="00000500000000000000"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lumMod val="15000"/>
          <a:lumOff val="85000"/>
        </a:schemeClr>
      </a:solidFill>
      <a:round/>
    </a:ln>
    <a:effectLst/>
  </c:spPr>
  <c:txPr>
    <a:bodyPr/>
    <a:lstStyle/>
    <a:p>
      <a:pPr>
        <a:defRPr>
          <a:solidFill>
            <a:schemeClr val="tx1"/>
          </a:solidFill>
          <a:latin typeface="Work Sans" panose="00000500000000000000" pitchFamily="50"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49"/>
          <c:order val="0"/>
          <c:tx>
            <c:strRef>
              <c:f>'Volumes Annual'!$AY$25</c:f>
              <c:strCache>
                <c:ptCount val="1"/>
                <c:pt idx="0">
                  <c:v>2025/26</c:v>
                </c:pt>
              </c:strCache>
            </c:strRef>
          </c:tx>
          <c:spPr>
            <a:ln w="28575" cap="rnd">
              <a:solidFill>
                <a:srgbClr val="0070C0"/>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Annual'!$AY$26:$AY$29</c:f>
              <c:numCache>
                <c:formatCode>General</c:formatCode>
                <c:ptCount val="4"/>
                <c:pt idx="0">
                  <c:v>70</c:v>
                </c:pt>
                <c:pt idx="1">
                  <c:v>69</c:v>
                </c:pt>
                <c:pt idx="2">
                  <c:v>83</c:v>
                </c:pt>
                <c:pt idx="3">
                  <c:v>94</c:v>
                </c:pt>
              </c:numCache>
            </c:numRef>
          </c:val>
          <c:smooth val="0"/>
          <c:extLst>
            <c:ext xmlns:c16="http://schemas.microsoft.com/office/drawing/2014/chart" uri="{C3380CC4-5D6E-409C-BE32-E72D297353CC}">
              <c16:uniqueId val="{00000001-F578-423A-A1E9-189606E767B4}"/>
            </c:ext>
          </c:extLst>
        </c:ser>
        <c:ser>
          <c:idx val="0"/>
          <c:order val="1"/>
          <c:tx>
            <c:strRef>
              <c:f>'Volumes Annual'!$B$25</c:f>
              <c:strCache>
                <c:ptCount val="1"/>
              </c:strCache>
            </c:strRef>
          </c:tx>
          <c:spPr>
            <a:ln w="28575" cap="rnd">
              <a:solidFill>
                <a:schemeClr val="accent1"/>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Annual'!$B$26:$B$29</c:f>
            </c:numRef>
          </c:val>
          <c:smooth val="0"/>
          <c:extLst>
            <c:ext xmlns:c16="http://schemas.microsoft.com/office/drawing/2014/chart" uri="{C3380CC4-5D6E-409C-BE32-E72D297353CC}">
              <c16:uniqueId val="{00000002-F578-423A-A1E9-189606E767B4}"/>
            </c:ext>
          </c:extLst>
        </c:ser>
        <c:ser>
          <c:idx val="47"/>
          <c:order val="2"/>
          <c:tx>
            <c:strRef>
              <c:f>'Volumes Annual'!$AW$25</c:f>
              <c:strCache>
                <c:ptCount val="1"/>
                <c:pt idx="0">
                  <c:v>2024/25</c:v>
                </c:pt>
              </c:strCache>
            </c:strRef>
          </c:tx>
          <c:spPr>
            <a:ln w="28575" cap="rnd">
              <a:solidFill>
                <a:schemeClr val="accent6">
                  <a:lumMod val="7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Annual'!$AW$26:$AW$29</c:f>
              <c:numCache>
                <c:formatCode>General</c:formatCode>
                <c:ptCount val="4"/>
                <c:pt idx="0">
                  <c:v>83</c:v>
                </c:pt>
                <c:pt idx="1">
                  <c:v>105</c:v>
                </c:pt>
                <c:pt idx="2">
                  <c:v>88</c:v>
                </c:pt>
                <c:pt idx="3">
                  <c:v>69</c:v>
                </c:pt>
              </c:numCache>
            </c:numRef>
          </c:val>
          <c:smooth val="0"/>
          <c:extLst>
            <c:ext xmlns:c16="http://schemas.microsoft.com/office/drawing/2014/chart" uri="{C3380CC4-5D6E-409C-BE32-E72D297353CC}">
              <c16:uniqueId val="{00000004-F578-423A-A1E9-189606E767B4}"/>
            </c:ext>
          </c:extLst>
        </c:ser>
        <c:ser>
          <c:idx val="1"/>
          <c:order val="3"/>
          <c:tx>
            <c:strRef>
              <c:f>'Volumes Annual'!$C$25</c:f>
              <c:strCache>
                <c:ptCount val="1"/>
              </c:strCache>
            </c:strRef>
          </c:tx>
          <c:spPr>
            <a:ln w="28575" cap="rnd">
              <a:solidFill>
                <a:schemeClr val="accent2"/>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Annual'!$C$26:$C$29</c:f>
            </c:numRef>
          </c:val>
          <c:smooth val="0"/>
          <c:extLst>
            <c:ext xmlns:c16="http://schemas.microsoft.com/office/drawing/2014/chart" uri="{C3380CC4-5D6E-409C-BE32-E72D297353CC}">
              <c16:uniqueId val="{00000005-F578-423A-A1E9-189606E767B4}"/>
            </c:ext>
          </c:extLst>
        </c:ser>
        <c:ser>
          <c:idx val="44"/>
          <c:order val="4"/>
          <c:tx>
            <c:strRef>
              <c:f>'Volumes Annual'!$AT$25</c:f>
              <c:strCache>
                <c:ptCount val="1"/>
                <c:pt idx="0">
                  <c:v>2023/24</c:v>
                </c:pt>
              </c:strCache>
            </c:strRef>
          </c:tx>
          <c:spPr>
            <a:ln w="28575" cap="rnd">
              <a:solidFill>
                <a:srgbClr val="FFC000"/>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Annual'!$AT$26:$AT$29</c:f>
              <c:numCache>
                <c:formatCode>General</c:formatCode>
                <c:ptCount val="4"/>
                <c:pt idx="0">
                  <c:v>86</c:v>
                </c:pt>
                <c:pt idx="1">
                  <c:v>61</c:v>
                </c:pt>
                <c:pt idx="2">
                  <c:v>68</c:v>
                </c:pt>
                <c:pt idx="3">
                  <c:v>81</c:v>
                </c:pt>
              </c:numCache>
            </c:numRef>
          </c:val>
          <c:smooth val="0"/>
          <c:extLst>
            <c:ext xmlns:c16="http://schemas.microsoft.com/office/drawing/2014/chart" uri="{C3380CC4-5D6E-409C-BE32-E72D297353CC}">
              <c16:uniqueId val="{00000008-F578-423A-A1E9-189606E767B4}"/>
            </c:ext>
          </c:extLst>
        </c:ser>
        <c:ser>
          <c:idx val="2"/>
          <c:order val="5"/>
          <c:tx>
            <c:strRef>
              <c:f>'Volumes Annual'!$D$25</c:f>
              <c:strCache>
                <c:ptCount val="1"/>
              </c:strCache>
            </c:strRef>
          </c:tx>
          <c:spPr>
            <a:ln w="28575" cap="rnd">
              <a:solidFill>
                <a:schemeClr val="accent3"/>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Annual'!$D$26:$D$29</c:f>
            </c:numRef>
          </c:val>
          <c:smooth val="0"/>
          <c:extLst>
            <c:ext xmlns:c16="http://schemas.microsoft.com/office/drawing/2014/chart" uri="{C3380CC4-5D6E-409C-BE32-E72D297353CC}">
              <c16:uniqueId val="{00000009-F578-423A-A1E9-189606E767B4}"/>
            </c:ext>
          </c:extLst>
        </c:ser>
        <c:ser>
          <c:idx val="3"/>
          <c:order val="6"/>
          <c:tx>
            <c:strRef>
              <c:f>'Volumes Annual'!$E$25</c:f>
              <c:strCache>
                <c:ptCount val="1"/>
              </c:strCache>
            </c:strRef>
          </c:tx>
          <c:spPr>
            <a:ln w="28575" cap="rnd">
              <a:solidFill>
                <a:schemeClr val="accent4"/>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Annual'!$E$26:$E$29</c:f>
            </c:numRef>
          </c:val>
          <c:smooth val="0"/>
          <c:extLst>
            <c:ext xmlns:c16="http://schemas.microsoft.com/office/drawing/2014/chart" uri="{C3380CC4-5D6E-409C-BE32-E72D297353CC}">
              <c16:uniqueId val="{0000000A-F578-423A-A1E9-189606E767B4}"/>
            </c:ext>
          </c:extLst>
        </c:ser>
        <c:ser>
          <c:idx val="4"/>
          <c:order val="7"/>
          <c:tx>
            <c:strRef>
              <c:f>'Volumes Annual'!$F$25</c:f>
              <c:strCache>
                <c:ptCount val="1"/>
              </c:strCache>
            </c:strRef>
          </c:tx>
          <c:spPr>
            <a:ln w="28575" cap="rnd">
              <a:solidFill>
                <a:schemeClr val="accent5"/>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Annual'!$F$26:$F$29</c:f>
            </c:numRef>
          </c:val>
          <c:smooth val="0"/>
          <c:extLst>
            <c:ext xmlns:c16="http://schemas.microsoft.com/office/drawing/2014/chart" uri="{C3380CC4-5D6E-409C-BE32-E72D297353CC}">
              <c16:uniqueId val="{0000000B-F578-423A-A1E9-189606E767B4}"/>
            </c:ext>
          </c:extLst>
        </c:ser>
        <c:ser>
          <c:idx val="5"/>
          <c:order val="8"/>
          <c:tx>
            <c:strRef>
              <c:f>'Volumes Annual'!$G$25</c:f>
              <c:strCache>
                <c:ptCount val="1"/>
              </c:strCache>
            </c:strRef>
          </c:tx>
          <c:spPr>
            <a:ln w="28575" cap="rnd">
              <a:solidFill>
                <a:schemeClr val="accent6"/>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Annual'!$G$26:$G$29</c:f>
            </c:numRef>
          </c:val>
          <c:smooth val="0"/>
          <c:extLst>
            <c:ext xmlns:c16="http://schemas.microsoft.com/office/drawing/2014/chart" uri="{C3380CC4-5D6E-409C-BE32-E72D297353CC}">
              <c16:uniqueId val="{0000000C-F578-423A-A1E9-189606E767B4}"/>
            </c:ext>
          </c:extLst>
        </c:ser>
        <c:ser>
          <c:idx val="6"/>
          <c:order val="9"/>
          <c:tx>
            <c:strRef>
              <c:f>'Volumes Annual'!$H$25</c:f>
              <c:strCache>
                <c:ptCount val="1"/>
              </c:strCache>
            </c:strRef>
          </c:tx>
          <c:spPr>
            <a:ln w="28575" cap="rnd">
              <a:solidFill>
                <a:schemeClr val="accent1">
                  <a:lumMod val="6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Annual'!$H$26:$H$29</c:f>
            </c:numRef>
          </c:val>
          <c:smooth val="0"/>
          <c:extLst>
            <c:ext xmlns:c16="http://schemas.microsoft.com/office/drawing/2014/chart" uri="{C3380CC4-5D6E-409C-BE32-E72D297353CC}">
              <c16:uniqueId val="{0000000D-F578-423A-A1E9-189606E767B4}"/>
            </c:ext>
          </c:extLst>
        </c:ser>
        <c:ser>
          <c:idx val="7"/>
          <c:order val="10"/>
          <c:tx>
            <c:strRef>
              <c:f>'Volumes Annual'!$I$25</c:f>
              <c:strCache>
                <c:ptCount val="1"/>
              </c:strCache>
            </c:strRef>
          </c:tx>
          <c:spPr>
            <a:ln w="28575" cap="rnd">
              <a:solidFill>
                <a:schemeClr val="accent2">
                  <a:lumMod val="6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Annual'!$I$26:$I$29</c:f>
            </c:numRef>
          </c:val>
          <c:smooth val="0"/>
          <c:extLst>
            <c:ext xmlns:c16="http://schemas.microsoft.com/office/drawing/2014/chart" uri="{C3380CC4-5D6E-409C-BE32-E72D297353CC}">
              <c16:uniqueId val="{0000000E-F578-423A-A1E9-189606E767B4}"/>
            </c:ext>
          </c:extLst>
        </c:ser>
        <c:ser>
          <c:idx val="8"/>
          <c:order val="11"/>
          <c:tx>
            <c:strRef>
              <c:f>'Volumes Annual'!$J$25</c:f>
              <c:strCache>
                <c:ptCount val="1"/>
              </c:strCache>
            </c:strRef>
          </c:tx>
          <c:spPr>
            <a:ln w="28575" cap="rnd">
              <a:solidFill>
                <a:schemeClr val="accent3">
                  <a:lumMod val="6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Annual'!$J$26:$J$29</c:f>
            </c:numRef>
          </c:val>
          <c:smooth val="0"/>
          <c:extLst>
            <c:ext xmlns:c16="http://schemas.microsoft.com/office/drawing/2014/chart" uri="{C3380CC4-5D6E-409C-BE32-E72D297353CC}">
              <c16:uniqueId val="{0000000F-F578-423A-A1E9-189606E767B4}"/>
            </c:ext>
          </c:extLst>
        </c:ser>
        <c:ser>
          <c:idx val="9"/>
          <c:order val="12"/>
          <c:tx>
            <c:strRef>
              <c:f>'Volumes Annual'!$K$25</c:f>
              <c:strCache>
                <c:ptCount val="1"/>
              </c:strCache>
            </c:strRef>
          </c:tx>
          <c:spPr>
            <a:ln w="28575" cap="rnd">
              <a:solidFill>
                <a:schemeClr val="accent4">
                  <a:lumMod val="6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Annual'!$K$26:$K$29</c:f>
            </c:numRef>
          </c:val>
          <c:smooth val="0"/>
          <c:extLst>
            <c:ext xmlns:c16="http://schemas.microsoft.com/office/drawing/2014/chart" uri="{C3380CC4-5D6E-409C-BE32-E72D297353CC}">
              <c16:uniqueId val="{00000010-F578-423A-A1E9-189606E767B4}"/>
            </c:ext>
          </c:extLst>
        </c:ser>
        <c:ser>
          <c:idx val="10"/>
          <c:order val="13"/>
          <c:tx>
            <c:strRef>
              <c:f>'Volumes Annual'!$L$25</c:f>
              <c:strCache>
                <c:ptCount val="1"/>
              </c:strCache>
            </c:strRef>
          </c:tx>
          <c:spPr>
            <a:ln w="28575" cap="rnd">
              <a:solidFill>
                <a:schemeClr val="accent5">
                  <a:lumMod val="6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Annual'!$L$26:$L$29</c:f>
            </c:numRef>
          </c:val>
          <c:smooth val="0"/>
          <c:extLst>
            <c:ext xmlns:c16="http://schemas.microsoft.com/office/drawing/2014/chart" uri="{C3380CC4-5D6E-409C-BE32-E72D297353CC}">
              <c16:uniqueId val="{00000011-F578-423A-A1E9-189606E767B4}"/>
            </c:ext>
          </c:extLst>
        </c:ser>
        <c:ser>
          <c:idx val="11"/>
          <c:order val="14"/>
          <c:tx>
            <c:strRef>
              <c:f>'Volumes Annual'!$M$25</c:f>
              <c:strCache>
                <c:ptCount val="1"/>
              </c:strCache>
            </c:strRef>
          </c:tx>
          <c:spPr>
            <a:ln w="28575" cap="rnd">
              <a:solidFill>
                <a:schemeClr val="accent6">
                  <a:lumMod val="6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Annual'!$M$26:$M$29</c:f>
            </c:numRef>
          </c:val>
          <c:smooth val="0"/>
          <c:extLst>
            <c:ext xmlns:c16="http://schemas.microsoft.com/office/drawing/2014/chart" uri="{C3380CC4-5D6E-409C-BE32-E72D297353CC}">
              <c16:uniqueId val="{00000012-F578-423A-A1E9-189606E767B4}"/>
            </c:ext>
          </c:extLst>
        </c:ser>
        <c:ser>
          <c:idx val="12"/>
          <c:order val="15"/>
          <c:tx>
            <c:strRef>
              <c:f>'Volumes Annual'!$N$25</c:f>
              <c:strCache>
                <c:ptCount val="1"/>
              </c:strCache>
            </c:strRef>
          </c:tx>
          <c:spPr>
            <a:ln w="28575" cap="rnd">
              <a:solidFill>
                <a:schemeClr val="accent1">
                  <a:lumMod val="80000"/>
                  <a:lumOff val="2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Annual'!$N$26:$N$29</c:f>
            </c:numRef>
          </c:val>
          <c:smooth val="0"/>
          <c:extLst>
            <c:ext xmlns:c16="http://schemas.microsoft.com/office/drawing/2014/chart" uri="{C3380CC4-5D6E-409C-BE32-E72D297353CC}">
              <c16:uniqueId val="{00000013-F578-423A-A1E9-189606E767B4}"/>
            </c:ext>
          </c:extLst>
        </c:ser>
        <c:ser>
          <c:idx val="13"/>
          <c:order val="16"/>
          <c:tx>
            <c:strRef>
              <c:f>'Volumes Annual'!$O$25</c:f>
              <c:strCache>
                <c:ptCount val="1"/>
              </c:strCache>
            </c:strRef>
          </c:tx>
          <c:spPr>
            <a:ln w="28575" cap="rnd">
              <a:solidFill>
                <a:schemeClr val="accent2">
                  <a:lumMod val="80000"/>
                  <a:lumOff val="2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Annual'!$O$26:$O$29</c:f>
            </c:numRef>
          </c:val>
          <c:smooth val="0"/>
          <c:extLst>
            <c:ext xmlns:c16="http://schemas.microsoft.com/office/drawing/2014/chart" uri="{C3380CC4-5D6E-409C-BE32-E72D297353CC}">
              <c16:uniqueId val="{00000014-F578-423A-A1E9-189606E767B4}"/>
            </c:ext>
          </c:extLst>
        </c:ser>
        <c:ser>
          <c:idx val="14"/>
          <c:order val="17"/>
          <c:tx>
            <c:strRef>
              <c:f>'Volumes Annual'!$P$25</c:f>
              <c:strCache>
                <c:ptCount val="1"/>
              </c:strCache>
            </c:strRef>
          </c:tx>
          <c:spPr>
            <a:ln w="28575" cap="rnd">
              <a:solidFill>
                <a:schemeClr val="accent3">
                  <a:lumMod val="80000"/>
                  <a:lumOff val="2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Annual'!$P$26:$P$29</c:f>
            </c:numRef>
          </c:val>
          <c:smooth val="0"/>
          <c:extLst>
            <c:ext xmlns:c16="http://schemas.microsoft.com/office/drawing/2014/chart" uri="{C3380CC4-5D6E-409C-BE32-E72D297353CC}">
              <c16:uniqueId val="{00000015-F578-423A-A1E9-189606E767B4}"/>
            </c:ext>
          </c:extLst>
        </c:ser>
        <c:ser>
          <c:idx val="15"/>
          <c:order val="18"/>
          <c:tx>
            <c:strRef>
              <c:f>'Volumes Annual'!$Q$25</c:f>
              <c:strCache>
                <c:ptCount val="1"/>
              </c:strCache>
            </c:strRef>
          </c:tx>
          <c:spPr>
            <a:ln w="28575" cap="rnd">
              <a:solidFill>
                <a:schemeClr val="accent4">
                  <a:lumMod val="80000"/>
                  <a:lumOff val="2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Annual'!$Q$26:$Q$29</c:f>
            </c:numRef>
          </c:val>
          <c:smooth val="0"/>
          <c:extLst>
            <c:ext xmlns:c16="http://schemas.microsoft.com/office/drawing/2014/chart" uri="{C3380CC4-5D6E-409C-BE32-E72D297353CC}">
              <c16:uniqueId val="{00000016-F578-423A-A1E9-189606E767B4}"/>
            </c:ext>
          </c:extLst>
        </c:ser>
        <c:ser>
          <c:idx val="16"/>
          <c:order val="19"/>
          <c:tx>
            <c:strRef>
              <c:f>'Volumes Annual'!$R$25</c:f>
              <c:strCache>
                <c:ptCount val="1"/>
              </c:strCache>
            </c:strRef>
          </c:tx>
          <c:spPr>
            <a:ln w="28575" cap="rnd">
              <a:solidFill>
                <a:schemeClr val="accent5">
                  <a:lumMod val="80000"/>
                  <a:lumOff val="2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Annual'!$R$26:$R$29</c:f>
            </c:numRef>
          </c:val>
          <c:smooth val="0"/>
          <c:extLst>
            <c:ext xmlns:c16="http://schemas.microsoft.com/office/drawing/2014/chart" uri="{C3380CC4-5D6E-409C-BE32-E72D297353CC}">
              <c16:uniqueId val="{00000017-F578-423A-A1E9-189606E767B4}"/>
            </c:ext>
          </c:extLst>
        </c:ser>
        <c:ser>
          <c:idx val="17"/>
          <c:order val="20"/>
          <c:tx>
            <c:strRef>
              <c:f>'Volumes Annual'!$S$25</c:f>
              <c:strCache>
                <c:ptCount val="1"/>
              </c:strCache>
            </c:strRef>
          </c:tx>
          <c:spPr>
            <a:ln w="28575" cap="rnd">
              <a:solidFill>
                <a:schemeClr val="accent6">
                  <a:lumMod val="80000"/>
                  <a:lumOff val="2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Annual'!$S$26:$S$29</c:f>
            </c:numRef>
          </c:val>
          <c:smooth val="0"/>
          <c:extLst>
            <c:ext xmlns:c16="http://schemas.microsoft.com/office/drawing/2014/chart" uri="{C3380CC4-5D6E-409C-BE32-E72D297353CC}">
              <c16:uniqueId val="{00000018-F578-423A-A1E9-189606E767B4}"/>
            </c:ext>
          </c:extLst>
        </c:ser>
        <c:ser>
          <c:idx val="18"/>
          <c:order val="21"/>
          <c:tx>
            <c:strRef>
              <c:f>'Volumes Annual'!$T$25</c:f>
              <c:strCache>
                <c:ptCount val="1"/>
              </c:strCache>
            </c:strRef>
          </c:tx>
          <c:spPr>
            <a:ln w="28575" cap="rnd">
              <a:solidFill>
                <a:schemeClr val="accent1">
                  <a:lumMod val="8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Annual'!$T$26:$T$29</c:f>
            </c:numRef>
          </c:val>
          <c:smooth val="0"/>
          <c:extLst>
            <c:ext xmlns:c16="http://schemas.microsoft.com/office/drawing/2014/chart" uri="{C3380CC4-5D6E-409C-BE32-E72D297353CC}">
              <c16:uniqueId val="{00000019-F578-423A-A1E9-189606E767B4}"/>
            </c:ext>
          </c:extLst>
        </c:ser>
        <c:ser>
          <c:idx val="19"/>
          <c:order val="22"/>
          <c:tx>
            <c:strRef>
              <c:f>'Volumes Annual'!$U$25</c:f>
              <c:strCache>
                <c:ptCount val="1"/>
              </c:strCache>
            </c:strRef>
          </c:tx>
          <c:spPr>
            <a:ln w="28575" cap="rnd">
              <a:solidFill>
                <a:schemeClr val="accent2">
                  <a:lumMod val="8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Annual'!$U$26:$U$29</c:f>
            </c:numRef>
          </c:val>
          <c:smooth val="0"/>
          <c:extLst>
            <c:ext xmlns:c16="http://schemas.microsoft.com/office/drawing/2014/chart" uri="{C3380CC4-5D6E-409C-BE32-E72D297353CC}">
              <c16:uniqueId val="{0000001A-F578-423A-A1E9-189606E767B4}"/>
            </c:ext>
          </c:extLst>
        </c:ser>
        <c:ser>
          <c:idx val="20"/>
          <c:order val="23"/>
          <c:tx>
            <c:strRef>
              <c:f>'Volumes Annual'!$V$25</c:f>
              <c:strCache>
                <c:ptCount val="1"/>
              </c:strCache>
            </c:strRef>
          </c:tx>
          <c:spPr>
            <a:ln w="28575" cap="rnd">
              <a:solidFill>
                <a:schemeClr val="accent3">
                  <a:lumMod val="8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Annual'!$V$26:$V$29</c:f>
            </c:numRef>
          </c:val>
          <c:smooth val="0"/>
          <c:extLst>
            <c:ext xmlns:c16="http://schemas.microsoft.com/office/drawing/2014/chart" uri="{C3380CC4-5D6E-409C-BE32-E72D297353CC}">
              <c16:uniqueId val="{0000001B-F578-423A-A1E9-189606E767B4}"/>
            </c:ext>
          </c:extLst>
        </c:ser>
        <c:ser>
          <c:idx val="21"/>
          <c:order val="24"/>
          <c:tx>
            <c:strRef>
              <c:f>'Volumes Annual'!$W$25</c:f>
              <c:strCache>
                <c:ptCount val="1"/>
              </c:strCache>
            </c:strRef>
          </c:tx>
          <c:spPr>
            <a:ln w="28575" cap="rnd">
              <a:solidFill>
                <a:schemeClr val="accent4">
                  <a:lumMod val="8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Annual'!$W$26:$W$29</c:f>
            </c:numRef>
          </c:val>
          <c:smooth val="0"/>
          <c:extLst>
            <c:ext xmlns:c16="http://schemas.microsoft.com/office/drawing/2014/chart" uri="{C3380CC4-5D6E-409C-BE32-E72D297353CC}">
              <c16:uniqueId val="{0000001C-F578-423A-A1E9-189606E767B4}"/>
            </c:ext>
          </c:extLst>
        </c:ser>
        <c:ser>
          <c:idx val="22"/>
          <c:order val="25"/>
          <c:tx>
            <c:strRef>
              <c:f>'Volumes Annual'!$X$25</c:f>
              <c:strCache>
                <c:ptCount val="1"/>
              </c:strCache>
            </c:strRef>
          </c:tx>
          <c:spPr>
            <a:ln w="28575" cap="rnd">
              <a:solidFill>
                <a:schemeClr val="accent5">
                  <a:lumMod val="8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Annual'!$X$26:$X$29</c:f>
            </c:numRef>
          </c:val>
          <c:smooth val="0"/>
          <c:extLst>
            <c:ext xmlns:c16="http://schemas.microsoft.com/office/drawing/2014/chart" uri="{C3380CC4-5D6E-409C-BE32-E72D297353CC}">
              <c16:uniqueId val="{0000001D-F578-423A-A1E9-189606E767B4}"/>
            </c:ext>
          </c:extLst>
        </c:ser>
        <c:ser>
          <c:idx val="23"/>
          <c:order val="26"/>
          <c:tx>
            <c:strRef>
              <c:f>'Volumes Annual'!$Y$25</c:f>
              <c:strCache>
                <c:ptCount val="1"/>
              </c:strCache>
            </c:strRef>
          </c:tx>
          <c:spPr>
            <a:ln w="28575" cap="rnd">
              <a:solidFill>
                <a:schemeClr val="accent6">
                  <a:lumMod val="8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Annual'!$Y$26:$Y$29</c:f>
            </c:numRef>
          </c:val>
          <c:smooth val="0"/>
          <c:extLst>
            <c:ext xmlns:c16="http://schemas.microsoft.com/office/drawing/2014/chart" uri="{C3380CC4-5D6E-409C-BE32-E72D297353CC}">
              <c16:uniqueId val="{0000001E-F578-423A-A1E9-189606E767B4}"/>
            </c:ext>
          </c:extLst>
        </c:ser>
        <c:ser>
          <c:idx val="24"/>
          <c:order val="27"/>
          <c:tx>
            <c:strRef>
              <c:f>'Volumes Annual'!$Z$25</c:f>
              <c:strCache>
                <c:ptCount val="1"/>
              </c:strCache>
            </c:strRef>
          </c:tx>
          <c:spPr>
            <a:ln w="28575" cap="rnd">
              <a:solidFill>
                <a:schemeClr val="accent1">
                  <a:lumMod val="60000"/>
                  <a:lumOff val="4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Annual'!$Z$26:$Z$29</c:f>
            </c:numRef>
          </c:val>
          <c:smooth val="0"/>
          <c:extLst>
            <c:ext xmlns:c16="http://schemas.microsoft.com/office/drawing/2014/chart" uri="{C3380CC4-5D6E-409C-BE32-E72D297353CC}">
              <c16:uniqueId val="{0000001F-F578-423A-A1E9-189606E767B4}"/>
            </c:ext>
          </c:extLst>
        </c:ser>
        <c:ser>
          <c:idx val="25"/>
          <c:order val="28"/>
          <c:tx>
            <c:strRef>
              <c:f>'Volumes Annual'!$AA$25</c:f>
              <c:strCache>
                <c:ptCount val="1"/>
              </c:strCache>
            </c:strRef>
          </c:tx>
          <c:spPr>
            <a:ln w="28575" cap="rnd">
              <a:solidFill>
                <a:schemeClr val="accent2">
                  <a:lumMod val="60000"/>
                  <a:lumOff val="4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Annual'!$AA$26:$AA$29</c:f>
            </c:numRef>
          </c:val>
          <c:smooth val="0"/>
          <c:extLst>
            <c:ext xmlns:c16="http://schemas.microsoft.com/office/drawing/2014/chart" uri="{C3380CC4-5D6E-409C-BE32-E72D297353CC}">
              <c16:uniqueId val="{00000020-F578-423A-A1E9-189606E767B4}"/>
            </c:ext>
          </c:extLst>
        </c:ser>
        <c:ser>
          <c:idx val="26"/>
          <c:order val="29"/>
          <c:tx>
            <c:strRef>
              <c:f>'Volumes Annual'!$AB$25</c:f>
              <c:strCache>
                <c:ptCount val="1"/>
              </c:strCache>
            </c:strRef>
          </c:tx>
          <c:spPr>
            <a:ln w="28575" cap="rnd">
              <a:solidFill>
                <a:schemeClr val="accent3">
                  <a:lumMod val="60000"/>
                  <a:lumOff val="4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Annual'!$AB$26:$AB$29</c:f>
            </c:numRef>
          </c:val>
          <c:smooth val="0"/>
          <c:extLst>
            <c:ext xmlns:c16="http://schemas.microsoft.com/office/drawing/2014/chart" uri="{C3380CC4-5D6E-409C-BE32-E72D297353CC}">
              <c16:uniqueId val="{00000021-F578-423A-A1E9-189606E767B4}"/>
            </c:ext>
          </c:extLst>
        </c:ser>
        <c:ser>
          <c:idx val="27"/>
          <c:order val="30"/>
          <c:tx>
            <c:strRef>
              <c:f>'Volumes Annual'!$AC$25</c:f>
              <c:strCache>
                <c:ptCount val="1"/>
              </c:strCache>
            </c:strRef>
          </c:tx>
          <c:spPr>
            <a:ln w="28575" cap="rnd">
              <a:solidFill>
                <a:schemeClr val="accent4">
                  <a:lumMod val="60000"/>
                  <a:lumOff val="4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Annual'!$AC$26:$AC$29</c:f>
            </c:numRef>
          </c:val>
          <c:smooth val="0"/>
          <c:extLst>
            <c:ext xmlns:c16="http://schemas.microsoft.com/office/drawing/2014/chart" uri="{C3380CC4-5D6E-409C-BE32-E72D297353CC}">
              <c16:uniqueId val="{00000022-F578-423A-A1E9-189606E767B4}"/>
            </c:ext>
          </c:extLst>
        </c:ser>
        <c:ser>
          <c:idx val="28"/>
          <c:order val="31"/>
          <c:tx>
            <c:strRef>
              <c:f>'Volumes Annual'!$AD$25</c:f>
              <c:strCache>
                <c:ptCount val="1"/>
              </c:strCache>
            </c:strRef>
          </c:tx>
          <c:spPr>
            <a:ln w="28575" cap="rnd">
              <a:solidFill>
                <a:schemeClr val="accent5">
                  <a:lumMod val="60000"/>
                  <a:lumOff val="4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Annual'!$AD$26:$AD$29</c:f>
            </c:numRef>
          </c:val>
          <c:smooth val="0"/>
          <c:extLst>
            <c:ext xmlns:c16="http://schemas.microsoft.com/office/drawing/2014/chart" uri="{C3380CC4-5D6E-409C-BE32-E72D297353CC}">
              <c16:uniqueId val="{00000023-F578-423A-A1E9-189606E767B4}"/>
            </c:ext>
          </c:extLst>
        </c:ser>
        <c:ser>
          <c:idx val="29"/>
          <c:order val="32"/>
          <c:tx>
            <c:strRef>
              <c:f>'Volumes Annual'!$AE$25</c:f>
              <c:strCache>
                <c:ptCount val="1"/>
              </c:strCache>
            </c:strRef>
          </c:tx>
          <c:spPr>
            <a:ln w="28575" cap="rnd">
              <a:solidFill>
                <a:schemeClr val="accent6">
                  <a:lumMod val="60000"/>
                  <a:lumOff val="4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Annual'!$AE$26:$AE$29</c:f>
            </c:numRef>
          </c:val>
          <c:smooth val="0"/>
          <c:extLst>
            <c:ext xmlns:c16="http://schemas.microsoft.com/office/drawing/2014/chart" uri="{C3380CC4-5D6E-409C-BE32-E72D297353CC}">
              <c16:uniqueId val="{00000024-F578-423A-A1E9-189606E767B4}"/>
            </c:ext>
          </c:extLst>
        </c:ser>
        <c:ser>
          <c:idx val="30"/>
          <c:order val="33"/>
          <c:tx>
            <c:strRef>
              <c:f>'Volumes Annual'!$AF$25</c:f>
              <c:strCache>
                <c:ptCount val="1"/>
              </c:strCache>
            </c:strRef>
          </c:tx>
          <c:spPr>
            <a:ln w="28575" cap="rnd">
              <a:solidFill>
                <a:schemeClr val="accent1">
                  <a:lumMod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Annual'!$AF$26:$AF$29</c:f>
            </c:numRef>
          </c:val>
          <c:smooth val="0"/>
          <c:extLst>
            <c:ext xmlns:c16="http://schemas.microsoft.com/office/drawing/2014/chart" uri="{C3380CC4-5D6E-409C-BE32-E72D297353CC}">
              <c16:uniqueId val="{00000025-F578-423A-A1E9-189606E767B4}"/>
            </c:ext>
          </c:extLst>
        </c:ser>
        <c:ser>
          <c:idx val="31"/>
          <c:order val="34"/>
          <c:tx>
            <c:strRef>
              <c:f>'Volumes Annual'!$AG$25</c:f>
              <c:strCache>
                <c:ptCount val="1"/>
              </c:strCache>
            </c:strRef>
          </c:tx>
          <c:spPr>
            <a:ln w="28575" cap="rnd">
              <a:solidFill>
                <a:schemeClr val="accent2">
                  <a:lumMod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Annual'!$AG$26:$AG$29</c:f>
            </c:numRef>
          </c:val>
          <c:smooth val="0"/>
          <c:extLst>
            <c:ext xmlns:c16="http://schemas.microsoft.com/office/drawing/2014/chart" uri="{C3380CC4-5D6E-409C-BE32-E72D297353CC}">
              <c16:uniqueId val="{00000026-F578-423A-A1E9-189606E767B4}"/>
            </c:ext>
          </c:extLst>
        </c:ser>
        <c:ser>
          <c:idx val="32"/>
          <c:order val="35"/>
          <c:tx>
            <c:strRef>
              <c:f>'Volumes Annual'!$AH$25</c:f>
              <c:strCache>
                <c:ptCount val="1"/>
              </c:strCache>
            </c:strRef>
          </c:tx>
          <c:spPr>
            <a:ln w="28575" cap="rnd">
              <a:solidFill>
                <a:schemeClr val="accent3">
                  <a:lumMod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Annual'!$AH$26:$AH$29</c:f>
            </c:numRef>
          </c:val>
          <c:smooth val="0"/>
          <c:extLst>
            <c:ext xmlns:c16="http://schemas.microsoft.com/office/drawing/2014/chart" uri="{C3380CC4-5D6E-409C-BE32-E72D297353CC}">
              <c16:uniqueId val="{00000027-F578-423A-A1E9-189606E767B4}"/>
            </c:ext>
          </c:extLst>
        </c:ser>
        <c:ser>
          <c:idx val="33"/>
          <c:order val="36"/>
          <c:tx>
            <c:strRef>
              <c:f>'Volumes Annual'!$AI$25</c:f>
              <c:strCache>
                <c:ptCount val="1"/>
              </c:strCache>
            </c:strRef>
          </c:tx>
          <c:spPr>
            <a:ln w="28575" cap="rnd">
              <a:solidFill>
                <a:schemeClr val="accent4">
                  <a:lumMod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Annual'!$AI$26:$AI$29</c:f>
            </c:numRef>
          </c:val>
          <c:smooth val="0"/>
          <c:extLst>
            <c:ext xmlns:c16="http://schemas.microsoft.com/office/drawing/2014/chart" uri="{C3380CC4-5D6E-409C-BE32-E72D297353CC}">
              <c16:uniqueId val="{00000028-F578-423A-A1E9-189606E767B4}"/>
            </c:ext>
          </c:extLst>
        </c:ser>
        <c:ser>
          <c:idx val="34"/>
          <c:order val="37"/>
          <c:tx>
            <c:strRef>
              <c:f>'Volumes Annual'!$AJ$25</c:f>
              <c:strCache>
                <c:ptCount val="1"/>
              </c:strCache>
            </c:strRef>
          </c:tx>
          <c:spPr>
            <a:ln w="28575" cap="rnd">
              <a:solidFill>
                <a:schemeClr val="accent5">
                  <a:lumMod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Annual'!$AJ$26:$AJ$29</c:f>
            </c:numRef>
          </c:val>
          <c:smooth val="0"/>
          <c:extLst>
            <c:ext xmlns:c16="http://schemas.microsoft.com/office/drawing/2014/chart" uri="{C3380CC4-5D6E-409C-BE32-E72D297353CC}">
              <c16:uniqueId val="{00000029-F578-423A-A1E9-189606E767B4}"/>
            </c:ext>
          </c:extLst>
        </c:ser>
        <c:ser>
          <c:idx val="35"/>
          <c:order val="38"/>
          <c:tx>
            <c:strRef>
              <c:f>'Volumes Annual'!$AK$25</c:f>
              <c:strCache>
                <c:ptCount val="1"/>
              </c:strCache>
            </c:strRef>
          </c:tx>
          <c:spPr>
            <a:ln w="28575" cap="rnd">
              <a:solidFill>
                <a:schemeClr val="accent6">
                  <a:lumMod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Annual'!$AK$26:$AK$29</c:f>
            </c:numRef>
          </c:val>
          <c:smooth val="0"/>
          <c:extLst>
            <c:ext xmlns:c16="http://schemas.microsoft.com/office/drawing/2014/chart" uri="{C3380CC4-5D6E-409C-BE32-E72D297353CC}">
              <c16:uniqueId val="{0000002A-F578-423A-A1E9-189606E767B4}"/>
            </c:ext>
          </c:extLst>
        </c:ser>
        <c:ser>
          <c:idx val="36"/>
          <c:order val="39"/>
          <c:tx>
            <c:strRef>
              <c:f>'Volumes Annual'!$AL$25</c:f>
              <c:strCache>
                <c:ptCount val="1"/>
              </c:strCache>
            </c:strRef>
          </c:tx>
          <c:spPr>
            <a:ln w="28575" cap="rnd">
              <a:solidFill>
                <a:schemeClr val="accent1">
                  <a:lumMod val="70000"/>
                  <a:lumOff val="3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Annual'!$AL$26:$AL$29</c:f>
            </c:numRef>
          </c:val>
          <c:smooth val="0"/>
          <c:extLst>
            <c:ext xmlns:c16="http://schemas.microsoft.com/office/drawing/2014/chart" uri="{C3380CC4-5D6E-409C-BE32-E72D297353CC}">
              <c16:uniqueId val="{0000002B-F578-423A-A1E9-189606E767B4}"/>
            </c:ext>
          </c:extLst>
        </c:ser>
        <c:ser>
          <c:idx val="37"/>
          <c:order val="40"/>
          <c:tx>
            <c:strRef>
              <c:f>'Volumes Annual'!$AM$25</c:f>
              <c:strCache>
                <c:ptCount val="1"/>
              </c:strCache>
            </c:strRef>
          </c:tx>
          <c:spPr>
            <a:ln w="28575" cap="rnd">
              <a:solidFill>
                <a:schemeClr val="accent2">
                  <a:lumMod val="70000"/>
                  <a:lumOff val="3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Annual'!$AM$26:$AM$29</c:f>
            </c:numRef>
          </c:val>
          <c:smooth val="0"/>
          <c:extLst>
            <c:ext xmlns:c16="http://schemas.microsoft.com/office/drawing/2014/chart" uri="{C3380CC4-5D6E-409C-BE32-E72D297353CC}">
              <c16:uniqueId val="{0000002C-F578-423A-A1E9-189606E767B4}"/>
            </c:ext>
          </c:extLst>
        </c:ser>
        <c:ser>
          <c:idx val="38"/>
          <c:order val="41"/>
          <c:tx>
            <c:strRef>
              <c:f>'Volumes Annual'!$AN$25</c:f>
              <c:strCache>
                <c:ptCount val="1"/>
              </c:strCache>
            </c:strRef>
          </c:tx>
          <c:spPr>
            <a:ln w="28575" cap="rnd">
              <a:solidFill>
                <a:schemeClr val="accent3">
                  <a:lumMod val="70000"/>
                  <a:lumOff val="3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Annual'!$AN$26:$AN$29</c:f>
            </c:numRef>
          </c:val>
          <c:smooth val="0"/>
          <c:extLst>
            <c:ext xmlns:c16="http://schemas.microsoft.com/office/drawing/2014/chart" uri="{C3380CC4-5D6E-409C-BE32-E72D297353CC}">
              <c16:uniqueId val="{0000002D-F578-423A-A1E9-189606E767B4}"/>
            </c:ext>
          </c:extLst>
        </c:ser>
        <c:ser>
          <c:idx val="39"/>
          <c:order val="42"/>
          <c:tx>
            <c:strRef>
              <c:f>'Volumes Annual'!$AO$25</c:f>
              <c:strCache>
                <c:ptCount val="1"/>
              </c:strCache>
            </c:strRef>
          </c:tx>
          <c:spPr>
            <a:ln w="28575" cap="rnd">
              <a:solidFill>
                <a:schemeClr val="accent4">
                  <a:lumMod val="70000"/>
                  <a:lumOff val="3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Annual'!$AO$26:$AO$29</c:f>
            </c:numRef>
          </c:val>
          <c:smooth val="0"/>
          <c:extLst>
            <c:ext xmlns:c16="http://schemas.microsoft.com/office/drawing/2014/chart" uri="{C3380CC4-5D6E-409C-BE32-E72D297353CC}">
              <c16:uniqueId val="{0000002E-F578-423A-A1E9-189606E767B4}"/>
            </c:ext>
          </c:extLst>
        </c:ser>
        <c:ser>
          <c:idx val="40"/>
          <c:order val="43"/>
          <c:tx>
            <c:strRef>
              <c:f>'Volumes Annual'!$AP$25</c:f>
              <c:strCache>
                <c:ptCount val="1"/>
              </c:strCache>
            </c:strRef>
          </c:tx>
          <c:spPr>
            <a:ln w="28575" cap="rnd">
              <a:solidFill>
                <a:schemeClr val="accent5">
                  <a:lumMod val="70000"/>
                  <a:lumOff val="3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Annual'!$AP$26:$AP$29</c:f>
            </c:numRef>
          </c:val>
          <c:smooth val="0"/>
          <c:extLst>
            <c:ext xmlns:c16="http://schemas.microsoft.com/office/drawing/2014/chart" uri="{C3380CC4-5D6E-409C-BE32-E72D297353CC}">
              <c16:uniqueId val="{0000002F-F578-423A-A1E9-189606E767B4}"/>
            </c:ext>
          </c:extLst>
        </c:ser>
        <c:ser>
          <c:idx val="41"/>
          <c:order val="44"/>
          <c:tx>
            <c:strRef>
              <c:f>'Volumes Annual'!$AQ$25</c:f>
              <c:strCache>
                <c:ptCount val="1"/>
              </c:strCache>
            </c:strRef>
          </c:tx>
          <c:spPr>
            <a:ln w="28575" cap="rnd">
              <a:solidFill>
                <a:schemeClr val="accent6">
                  <a:lumMod val="70000"/>
                  <a:lumOff val="3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Annual'!$AQ$26:$AQ$29</c:f>
            </c:numRef>
          </c:val>
          <c:smooth val="0"/>
          <c:extLst>
            <c:ext xmlns:c16="http://schemas.microsoft.com/office/drawing/2014/chart" uri="{C3380CC4-5D6E-409C-BE32-E72D297353CC}">
              <c16:uniqueId val="{00000030-F578-423A-A1E9-189606E767B4}"/>
            </c:ext>
          </c:extLst>
        </c:ser>
        <c:ser>
          <c:idx val="42"/>
          <c:order val="45"/>
          <c:tx>
            <c:strRef>
              <c:f>'Volumes Annual'!$AR$25</c:f>
              <c:strCache>
                <c:ptCount val="1"/>
              </c:strCache>
            </c:strRef>
          </c:tx>
          <c:spPr>
            <a:ln w="28575" cap="rnd">
              <a:solidFill>
                <a:schemeClr val="accent1">
                  <a:lumMod val="7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Annual'!$AR$26:$AR$29</c:f>
            </c:numRef>
          </c:val>
          <c:smooth val="0"/>
          <c:extLst>
            <c:ext xmlns:c16="http://schemas.microsoft.com/office/drawing/2014/chart" uri="{C3380CC4-5D6E-409C-BE32-E72D297353CC}">
              <c16:uniqueId val="{00000031-F578-423A-A1E9-189606E767B4}"/>
            </c:ext>
          </c:extLst>
        </c:ser>
        <c:ser>
          <c:idx val="43"/>
          <c:order val="46"/>
          <c:tx>
            <c:strRef>
              <c:f>'Volumes Annual'!$AS$25</c:f>
              <c:strCache>
                <c:ptCount val="1"/>
              </c:strCache>
            </c:strRef>
          </c:tx>
          <c:spPr>
            <a:ln w="28575" cap="rnd">
              <a:solidFill>
                <a:schemeClr val="accent2">
                  <a:lumMod val="7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Annual'!$AS$26:$AS$29</c:f>
            </c:numRef>
          </c:val>
          <c:smooth val="0"/>
          <c:extLst>
            <c:ext xmlns:c16="http://schemas.microsoft.com/office/drawing/2014/chart" uri="{C3380CC4-5D6E-409C-BE32-E72D297353CC}">
              <c16:uniqueId val="{00000032-F578-423A-A1E9-189606E767B4}"/>
            </c:ext>
          </c:extLst>
        </c:ser>
        <c:ser>
          <c:idx val="45"/>
          <c:order val="47"/>
          <c:tx>
            <c:strRef>
              <c:f>'Volumes Annual'!$AU$25</c:f>
              <c:strCache>
                <c:ptCount val="1"/>
                <c:pt idx="0">
                  <c:v>2024/25</c:v>
                </c:pt>
              </c:strCache>
            </c:strRef>
          </c:tx>
          <c:spPr>
            <a:ln w="28575" cap="rnd">
              <a:solidFill>
                <a:schemeClr val="accent4">
                  <a:lumMod val="7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Annual'!$AU$26:$AU$29</c:f>
            </c:numRef>
          </c:val>
          <c:smooth val="0"/>
          <c:extLst>
            <c:ext xmlns:c16="http://schemas.microsoft.com/office/drawing/2014/chart" uri="{C3380CC4-5D6E-409C-BE32-E72D297353CC}">
              <c16:uniqueId val="{00000033-F578-423A-A1E9-189606E767B4}"/>
            </c:ext>
          </c:extLst>
        </c:ser>
        <c:ser>
          <c:idx val="46"/>
          <c:order val="48"/>
          <c:tx>
            <c:strRef>
              <c:f>'Volumes Annual'!$AV$25</c:f>
              <c:strCache>
                <c:ptCount val="1"/>
                <c:pt idx="0">
                  <c:v>2025/26</c:v>
                </c:pt>
              </c:strCache>
            </c:strRef>
          </c:tx>
          <c:spPr>
            <a:ln w="28575" cap="rnd">
              <a:solidFill>
                <a:schemeClr val="accent5">
                  <a:lumMod val="7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Annual'!$AV$26:$AV$29</c:f>
            </c:numRef>
          </c:val>
          <c:smooth val="0"/>
          <c:extLst>
            <c:ext xmlns:c16="http://schemas.microsoft.com/office/drawing/2014/chart" uri="{C3380CC4-5D6E-409C-BE32-E72D297353CC}">
              <c16:uniqueId val="{00000034-F578-423A-A1E9-189606E767B4}"/>
            </c:ext>
          </c:extLst>
        </c:ser>
        <c:ser>
          <c:idx val="48"/>
          <c:order val="49"/>
          <c:tx>
            <c:strRef>
              <c:f>'Volumes Annual'!$AX$25</c:f>
              <c:strCache>
                <c:ptCount val="1"/>
                <c:pt idx="0">
                  <c:v>April - Sept 18 </c:v>
                </c:pt>
              </c:strCache>
            </c:strRef>
          </c:tx>
          <c:spPr>
            <a:ln w="28575" cap="rnd">
              <a:solidFill>
                <a:schemeClr val="accent1">
                  <a:lumMod val="50000"/>
                  <a:lumOff val="50000"/>
                </a:schemeClr>
              </a:solidFill>
              <a:round/>
            </a:ln>
            <a:effectLst/>
          </c:spPr>
          <c:marker>
            <c:symbol val="none"/>
          </c:marker>
          <c:cat>
            <c:strRef>
              <c:f>'Volumes Annual'!$A$26:$A$29</c:f>
              <c:strCache>
                <c:ptCount val="4"/>
                <c:pt idx="0">
                  <c:v>Quarter 1</c:v>
                </c:pt>
                <c:pt idx="1">
                  <c:v>Quarter 2</c:v>
                </c:pt>
                <c:pt idx="2">
                  <c:v>Quarter 3</c:v>
                </c:pt>
                <c:pt idx="3">
                  <c:v>Quarter 4</c:v>
                </c:pt>
              </c:strCache>
            </c:strRef>
          </c:cat>
          <c:val>
            <c:numRef>
              <c:f>'Volumes Annual'!$AX$26:$AX$29</c:f>
            </c:numRef>
          </c:val>
          <c:smooth val="0"/>
          <c:extLst>
            <c:ext xmlns:c16="http://schemas.microsoft.com/office/drawing/2014/chart" uri="{C3380CC4-5D6E-409C-BE32-E72D297353CC}">
              <c16:uniqueId val="{00000035-F578-423A-A1E9-189606E767B4}"/>
            </c:ext>
          </c:extLst>
        </c:ser>
        <c:dLbls>
          <c:showLegendKey val="0"/>
          <c:showVal val="0"/>
          <c:showCatName val="0"/>
          <c:showSerName val="0"/>
          <c:showPercent val="0"/>
          <c:showBubbleSize val="0"/>
        </c:dLbls>
        <c:smooth val="0"/>
        <c:axId val="622034752"/>
        <c:axId val="622026592"/>
      </c:lineChart>
      <c:catAx>
        <c:axId val="62203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Work Sans" panose="00000500000000000000" pitchFamily="50" charset="0"/>
                <a:ea typeface="ADLaM Display" panose="020F0502020204030204" pitchFamily="2" charset="0"/>
                <a:cs typeface="ADLaM Display" panose="020F0502020204030204" pitchFamily="2" charset="0"/>
              </a:defRPr>
            </a:pPr>
            <a:endParaRPr lang="en-US"/>
          </a:p>
        </c:txPr>
        <c:crossAx val="622026592"/>
        <c:crosses val="autoZero"/>
        <c:auto val="1"/>
        <c:lblAlgn val="ctr"/>
        <c:lblOffset val="100"/>
        <c:noMultiLvlLbl val="0"/>
      </c:catAx>
      <c:valAx>
        <c:axId val="62202659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Work Sans" panose="00000500000000000000" pitchFamily="50" charset="0"/>
                <a:ea typeface="ADLaM Display" panose="020F0502020204030204" pitchFamily="2" charset="0"/>
                <a:cs typeface="ADLaM Display" panose="020F0502020204030204" pitchFamily="2" charset="0"/>
              </a:defRPr>
            </a:pPr>
            <a:endParaRPr lang="en-US"/>
          </a:p>
        </c:txPr>
        <c:crossAx val="62203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Work Sans" panose="00000500000000000000" pitchFamily="50" charset="0"/>
              <a:ea typeface="ADLaM Display" panose="020F0502020204030204" pitchFamily="2" charset="0"/>
              <a:cs typeface="ADLaM Display" panose="020F0502020204030204" pitchFamily="2"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DLaM Display" panose="020F0502020204030204" pitchFamily="2" charset="0"/>
          <a:ea typeface="ADLaM Display" panose="020F0502020204030204" pitchFamily="2" charset="0"/>
          <a:cs typeface="ADLaM Display" panose="020F0502020204030204" pitchFamily="2"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r>
              <a:rPr lang="en-GB">
                <a:latin typeface="Work Sans" panose="00000500000000000000" pitchFamily="50" charset="0"/>
              </a:rPr>
              <a:t>Reviews received per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endParaRPr lang="en-US"/>
        </a:p>
      </c:txPr>
    </c:title>
    <c:autoTitleDeleted val="0"/>
    <c:plotArea>
      <c:layout/>
      <c:lineChart>
        <c:grouping val="standard"/>
        <c:varyColors val="0"/>
        <c:ser>
          <c:idx val="4"/>
          <c:order val="4"/>
          <c:tx>
            <c:strRef>
              <c:f>'https://syha.sharepoint.com/sites/TeamAnnaandKev/Shared Documents/Data and Dashboards/Customer Experience/2026-27/[Customer Experience Dashboard 2026-27.xlsx]Complaints &amp; Compensation 26-27'!$A$25</c:f>
              <c:strCache>
                <c:ptCount val="1"/>
                <c:pt idx="0">
                  <c:v>Total  reviews per Month 25-26</c:v>
                </c:pt>
              </c:strCache>
            </c:strRef>
          </c:tx>
          <c:spPr>
            <a:ln w="28575" cap="rnd">
              <a:solidFill>
                <a:srgbClr val="0070C0"/>
              </a:solidFill>
              <a:round/>
            </a:ln>
            <a:effectLst/>
          </c:spPr>
          <c:marker>
            <c:symbol val="none"/>
          </c:marker>
          <c:cat>
            <c:strRef>
              <c:f>'https://syha.sharepoint.com/sites/TeamAnnaandKev/Shared Documents/Data and Dashboards/Customer Experience/2026-27/[Customer Experience Dashboard 2026-27.xlsx]Complaints &amp; Compensation 26-27'!$B$20:$M$20</c:f>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f>'https://syha.sharepoint.com/sites/TeamAnnaandKev/Shared Documents/Data and Dashboards/Customer Experience/2026-27/[Customer Experience Dashboard 2026-27.xlsx]Complaints &amp; Compensation 26-27'!$B$25:$M$25</c:f>
              <c:numCache>
                <c:formatCode>General</c:formatCode>
                <c:ptCount val="12"/>
                <c:pt idx="0">
                  <c:v>1</c:v>
                </c:pt>
                <c:pt idx="1">
                  <c:v>3</c:v>
                </c:pt>
                <c:pt idx="2">
                  <c:v>2</c:v>
                </c:pt>
                <c:pt idx="3">
                  <c:v>1</c:v>
                </c:pt>
                <c:pt idx="4">
                  <c:v>3</c:v>
                </c:pt>
                <c:pt idx="5">
                  <c:v>3</c:v>
                </c:pt>
                <c:pt idx="6">
                  <c:v>4</c:v>
                </c:pt>
                <c:pt idx="7">
                  <c:v>3</c:v>
                </c:pt>
                <c:pt idx="8">
                  <c:v>3</c:v>
                </c:pt>
                <c:pt idx="9">
                  <c:v>4</c:v>
                </c:pt>
                <c:pt idx="10">
                  <c:v>6</c:v>
                </c:pt>
                <c:pt idx="11">
                  <c:v>7</c:v>
                </c:pt>
              </c:numCache>
            </c:numRef>
          </c:val>
          <c:smooth val="0"/>
          <c:extLst>
            <c:ext xmlns:c16="http://schemas.microsoft.com/office/drawing/2014/chart" uri="{C3380CC4-5D6E-409C-BE32-E72D297353CC}">
              <c16:uniqueId val="{00000000-C843-4648-A480-66ABCE6FE66D}"/>
            </c:ext>
          </c:extLst>
        </c:ser>
        <c:ser>
          <c:idx val="5"/>
          <c:order val="5"/>
          <c:tx>
            <c:strRef>
              <c:f>'https://syha.sharepoint.com/sites/TeamAnnaandKev/Shared Documents/Data and Dashboards/Customer Experience/2026-27/[Customer Experience Dashboard 2026-27.xlsx]Complaints &amp; Compensation 26-27'!$A$26</c:f>
              <c:strCache>
                <c:ptCount val="1"/>
                <c:pt idx="0">
                  <c:v>Total reviews per month 24-25</c:v>
                </c:pt>
              </c:strCache>
            </c:strRef>
          </c:tx>
          <c:spPr>
            <a:ln w="28575" cap="rnd">
              <a:solidFill>
                <a:srgbClr val="C0504D"/>
              </a:solidFill>
              <a:round/>
            </a:ln>
            <a:effectLst/>
          </c:spPr>
          <c:marker>
            <c:symbol val="none"/>
          </c:marker>
          <c:cat>
            <c:strRef>
              <c:f>'https://syha.sharepoint.com/sites/TeamAnnaandKev/Shared Documents/Data and Dashboards/Customer Experience/2026-27/[Customer Experience Dashboard 2026-27.xlsx]Complaints &amp; Compensation 26-27'!$B$20:$M$20</c:f>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f>'https://syha.sharepoint.com/sites/TeamAnnaandKev/Shared Documents/Data and Dashboards/Customer Experience/2026-27/[Customer Experience Dashboard 2026-27.xlsx]Complaints &amp; Compensation 26-27'!$B$26:$M$26</c:f>
              <c:numCache>
                <c:formatCode>General</c:formatCode>
                <c:ptCount val="12"/>
                <c:pt idx="0">
                  <c:v>3</c:v>
                </c:pt>
                <c:pt idx="1">
                  <c:v>6</c:v>
                </c:pt>
                <c:pt idx="2">
                  <c:v>0</c:v>
                </c:pt>
                <c:pt idx="3">
                  <c:v>1</c:v>
                </c:pt>
                <c:pt idx="4">
                  <c:v>1</c:v>
                </c:pt>
                <c:pt idx="5">
                  <c:v>3</c:v>
                </c:pt>
                <c:pt idx="6">
                  <c:v>3</c:v>
                </c:pt>
                <c:pt idx="7">
                  <c:v>4</c:v>
                </c:pt>
                <c:pt idx="8">
                  <c:v>0</c:v>
                </c:pt>
                <c:pt idx="9">
                  <c:v>3</c:v>
                </c:pt>
                <c:pt idx="10">
                  <c:v>3</c:v>
                </c:pt>
                <c:pt idx="11">
                  <c:v>2</c:v>
                </c:pt>
              </c:numCache>
            </c:numRef>
          </c:val>
          <c:smooth val="0"/>
          <c:extLst>
            <c:ext xmlns:c16="http://schemas.microsoft.com/office/drawing/2014/chart" uri="{C3380CC4-5D6E-409C-BE32-E72D297353CC}">
              <c16:uniqueId val="{00000001-C843-4648-A480-66ABCE6FE66D}"/>
            </c:ext>
          </c:extLst>
        </c:ser>
        <c:ser>
          <c:idx val="6"/>
          <c:order val="6"/>
          <c:tx>
            <c:strRef>
              <c:f>'https://syha.sharepoint.com/sites/TeamAnnaandKev/Shared Documents/Data and Dashboards/Customer Experience/2026-27/[Customer Experience Dashboard 2026-27.xlsx]Complaints &amp; Compensation 26-27'!$A$27</c:f>
              <c:strCache>
                <c:ptCount val="1"/>
                <c:pt idx="0">
                  <c:v>Total reviews per month 23-24</c:v>
                </c:pt>
              </c:strCache>
            </c:strRef>
          </c:tx>
          <c:spPr>
            <a:ln w="28575" cap="rnd">
              <a:solidFill>
                <a:srgbClr val="FFC000"/>
              </a:solidFill>
              <a:round/>
            </a:ln>
            <a:effectLst/>
          </c:spPr>
          <c:marker>
            <c:symbol val="none"/>
          </c:marker>
          <c:cat>
            <c:strRef>
              <c:f>'https://syha.sharepoint.com/sites/TeamAnnaandKev/Shared Documents/Data and Dashboards/Customer Experience/2026-27/[Customer Experience Dashboard 2026-27.xlsx]Complaints &amp; Compensation 26-27'!$B$20:$M$20</c:f>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f>'https://syha.sharepoint.com/sites/TeamAnnaandKev/Shared Documents/Data and Dashboards/Customer Experience/2026-27/[Customer Experience Dashboard 2026-27.xlsx]Complaints &amp; Compensation 26-27'!$B$27:$M$27</c:f>
              <c:numCache>
                <c:formatCode>General</c:formatCode>
                <c:ptCount val="12"/>
                <c:pt idx="0">
                  <c:v>1</c:v>
                </c:pt>
                <c:pt idx="1">
                  <c:v>1</c:v>
                </c:pt>
                <c:pt idx="2">
                  <c:v>3</c:v>
                </c:pt>
                <c:pt idx="3">
                  <c:v>2</c:v>
                </c:pt>
                <c:pt idx="4">
                  <c:v>0</c:v>
                </c:pt>
                <c:pt idx="5">
                  <c:v>1</c:v>
                </c:pt>
                <c:pt idx="6">
                  <c:v>2</c:v>
                </c:pt>
                <c:pt idx="7">
                  <c:v>1</c:v>
                </c:pt>
                <c:pt idx="8">
                  <c:v>1</c:v>
                </c:pt>
                <c:pt idx="9">
                  <c:v>3</c:v>
                </c:pt>
                <c:pt idx="10">
                  <c:v>1</c:v>
                </c:pt>
                <c:pt idx="11">
                  <c:v>3</c:v>
                </c:pt>
              </c:numCache>
            </c:numRef>
          </c:val>
          <c:smooth val="0"/>
          <c:extLst>
            <c:ext xmlns:c16="http://schemas.microsoft.com/office/drawing/2014/chart" uri="{C3380CC4-5D6E-409C-BE32-E72D297353CC}">
              <c16:uniqueId val="{00000002-C843-4648-A480-66ABCE6FE66D}"/>
            </c:ext>
          </c:extLst>
        </c:ser>
        <c:dLbls>
          <c:showLegendKey val="0"/>
          <c:showVal val="0"/>
          <c:showCatName val="0"/>
          <c:showSerName val="0"/>
          <c:showPercent val="0"/>
          <c:showBubbleSize val="0"/>
        </c:dLbls>
        <c:smooth val="0"/>
        <c:axId val="702128984"/>
        <c:axId val="702126104"/>
        <c:extLst>
          <c:ext xmlns:c15="http://schemas.microsoft.com/office/drawing/2012/chart" uri="{02D57815-91ED-43cb-92C2-25804820EDAC}">
            <c15:filteredLineSeries>
              <c15:ser>
                <c:idx val="0"/>
                <c:order val="0"/>
                <c:tx>
                  <c:strRef>
                    <c:extLst>
                      <c:ext uri="{02D57815-91ED-43cb-92C2-25804820EDAC}">
                        <c15:formulaRef>
                          <c15:sqref>'https://syha.sharepoint.com/sites/TeamAnnaandKev/Shared Documents/Data and Dashboards/Customer Experience/2026-27/[Customer Experience Dashboard 2026-27.xlsx]Complaints &amp; Compensation 26-27'!$A$21</c15:sqref>
                        </c15:formulaRef>
                      </c:ext>
                    </c:extLst>
                    <c:strCache>
                      <c:ptCount val="1"/>
                      <c:pt idx="0">
                        <c:v>Complaints only</c:v>
                      </c:pt>
                    </c:strCache>
                  </c:strRef>
                </c:tx>
                <c:spPr>
                  <a:ln w="28575" cap="rnd">
                    <a:solidFill>
                      <a:schemeClr val="accent1"/>
                    </a:solidFill>
                    <a:round/>
                  </a:ln>
                  <a:effectLst/>
                </c:spPr>
                <c:marker>
                  <c:symbol val="none"/>
                </c:marker>
                <c:cat>
                  <c:strRef>
                    <c:extLst>
                      <c:ext uri="{02D57815-91ED-43cb-92C2-25804820EDAC}">
                        <c15:formulaRef>
                          <c15:sqref>'https://syha.sharepoint.com/sites/TeamAnnaandKev/Shared Documents/Data and Dashboards/Customer Experience/2026-27/[Customer Experience Dashboard 2026-27.xlsx]Complaints &amp; Compensation 26-27'!$B$20:$M$20</c15:sqref>
                        </c15:formulaRef>
                      </c:ext>
                    </c:extLst>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extLst>
                      <c:ext uri="{02D57815-91ED-43cb-92C2-25804820EDAC}">
                        <c15:formulaRef>
                          <c15:sqref>'https://syha.sharepoint.com/sites/TeamAnnaandKev/Shared Documents/Data and Dashboards/Customer Experience/2026-27/[Customer Experience Dashboard 2026-27.xlsx]Complaints &amp; Compensation 26-27'!$B$21:$M$21</c15:sqref>
                        </c15:formulaRef>
                      </c:ext>
                    </c:extLst>
                    <c:numCache>
                      <c:formatCode>General</c:formatCode>
                      <c:ptCount val="12"/>
                    </c:numCache>
                  </c:numRef>
                </c:val>
                <c:smooth val="0"/>
                <c:extLst>
                  <c:ext xmlns:c16="http://schemas.microsoft.com/office/drawing/2014/chart" uri="{C3380CC4-5D6E-409C-BE32-E72D297353CC}">
                    <c16:uniqueId val="{00000003-C843-4648-A480-66ABCE6FE66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26-27'!$A$22</c15:sqref>
                        </c15:formulaRef>
                      </c:ext>
                    </c:extLst>
                    <c:strCache>
                      <c:ptCount val="1"/>
                      <c:pt idx="0">
                        <c:v>Complaint &amp; Compensation Both</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26-27'!$B$20:$M$20</c15:sqref>
                        </c15:formulaRef>
                      </c:ext>
                    </c:extLst>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26-27'!$B$22:$M$22</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04-C843-4648-A480-66ABCE6FE66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26-27'!$A$23</c15:sqref>
                        </c15:formulaRef>
                      </c:ext>
                    </c:extLst>
                    <c:strCache>
                      <c:ptCount val="1"/>
                      <c:pt idx="0">
                        <c:v>Compensation only</c:v>
                      </c:pt>
                    </c:strCache>
                  </c:strRef>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26-27'!$B$20:$M$20</c15:sqref>
                        </c15:formulaRef>
                      </c:ext>
                    </c:extLst>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26-27'!$B$23:$M$23</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05-C843-4648-A480-66ABCE6FE66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26-27'!$A$24</c15:sqref>
                        </c15:formulaRef>
                      </c:ext>
                    </c:extLst>
                    <c:strCache>
                      <c:ptCount val="1"/>
                      <c:pt idx="0">
                        <c:v>Total  reviews per Month 26-27</c:v>
                      </c:pt>
                    </c:strCache>
                  </c:strRef>
                </c:tx>
                <c:spPr>
                  <a:ln w="28575" cap="rnd">
                    <a:solidFill>
                      <a:srgbClr val="FF0000"/>
                    </a:solidFill>
                    <a:prstDash val="solid"/>
                    <a:round/>
                  </a:ln>
                  <a:effectLst/>
                </c:spPr>
                <c:marker>
                  <c:symbol val="none"/>
                </c:marker>
                <c:cat>
                  <c:str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26-27'!$B$20:$M$20</c15:sqref>
                        </c15:formulaRef>
                      </c:ext>
                    </c:extLst>
                    <c:strCache>
                      <c:ptCount val="12"/>
                      <c:pt idx="0">
                        <c:v>Apr</c:v>
                      </c:pt>
                      <c:pt idx="1">
                        <c:v>May</c:v>
                      </c:pt>
                      <c:pt idx="2">
                        <c:v>Jun</c:v>
                      </c:pt>
                      <c:pt idx="3">
                        <c:v>July</c:v>
                      </c:pt>
                      <c:pt idx="4">
                        <c:v>Aug</c:v>
                      </c:pt>
                      <c:pt idx="5">
                        <c:v>Sept</c:v>
                      </c:pt>
                      <c:pt idx="6">
                        <c:v>Oct</c:v>
                      </c:pt>
                      <c:pt idx="7">
                        <c:v>Nov</c:v>
                      </c:pt>
                      <c:pt idx="8">
                        <c:v>Dec </c:v>
                      </c:pt>
                      <c:pt idx="9">
                        <c:v>Jan</c:v>
                      </c:pt>
                      <c:pt idx="10">
                        <c:v>Feb</c:v>
                      </c:pt>
                      <c:pt idx="11">
                        <c:v>Mar</c:v>
                      </c:pt>
                    </c:strCache>
                  </c:strRef>
                </c:cat>
                <c:val>
                  <c:numRef>
                    <c:extLst xmlns:c15="http://schemas.microsoft.com/office/drawing/2012/chart">
                      <c:ext xmlns:c15="http://schemas.microsoft.com/office/drawing/2012/chart" uri="{02D57815-91ED-43cb-92C2-25804820EDAC}">
                        <c15:formulaRef>
                          <c15:sqref>'https://syha.sharepoint.com/sites/TeamAnnaandKev/Shared Documents/Data and Dashboards/Customer Experience/2026-27/[Customer Experience Dashboard 2026-27.xlsx]Complaints &amp; Compensation 26-27'!$B$24:$M$24</c15:sqref>
                        </c15:formulaRef>
                      </c:ext>
                    </c:extLst>
                    <c:numCache>
                      <c:formatCode>General</c:formatCode>
                      <c:ptCount val="12"/>
                    </c:numCache>
                  </c:numRef>
                </c:val>
                <c:smooth val="0"/>
                <c:extLst xmlns:c15="http://schemas.microsoft.com/office/drawing/2012/chart">
                  <c:ext xmlns:c16="http://schemas.microsoft.com/office/drawing/2014/chart" uri="{C3380CC4-5D6E-409C-BE32-E72D297353CC}">
                    <c16:uniqueId val="{00000006-C843-4648-A480-66ABCE6FE66D}"/>
                  </c:ext>
                </c:extLst>
              </c15:ser>
            </c15:filteredLineSeries>
          </c:ext>
        </c:extLst>
      </c:lineChart>
      <c:catAx>
        <c:axId val="702128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702126104"/>
        <c:crosses val="autoZero"/>
        <c:auto val="1"/>
        <c:lblAlgn val="ctr"/>
        <c:lblOffset val="100"/>
        <c:noMultiLvlLbl val="0"/>
      </c:catAx>
      <c:valAx>
        <c:axId val="702126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702128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r>
              <a:rPr lang="en-GB">
                <a:latin typeface="Work Sans" panose="00000500000000000000" pitchFamily="50" charset="0"/>
              </a:rPr>
              <a:t>Reason for Exclusion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Exclusions!$A$4:$A$10</c:f>
              <c:strCache>
                <c:ptCount val="7"/>
                <c:pt idx="0">
                  <c:v>Service Request</c:v>
                </c:pt>
                <c:pt idx="1">
                  <c:v>Third Party</c:v>
                </c:pt>
                <c:pt idx="2">
                  <c:v>ASB</c:v>
                </c:pt>
                <c:pt idx="3">
                  <c:v>Legal proceedings or Insurance</c:v>
                </c:pt>
                <c:pt idx="4">
                  <c:v>Historic</c:v>
                </c:pt>
                <c:pt idx="5">
                  <c:v>Anonymous or not advocate</c:v>
                </c:pt>
                <c:pt idx="6">
                  <c:v>HR Issue</c:v>
                </c:pt>
              </c:strCache>
              <c:extLst/>
            </c:strRef>
          </c:cat>
          <c:val>
            <c:numRef>
              <c:f>Exclusions!$B$4:$B$10</c:f>
              <c:numCache>
                <c:formatCode>General</c:formatCode>
                <c:ptCount val="7"/>
                <c:pt idx="0">
                  <c:v>24</c:v>
                </c:pt>
                <c:pt idx="1">
                  <c:v>8</c:v>
                </c:pt>
                <c:pt idx="2">
                  <c:v>7</c:v>
                </c:pt>
                <c:pt idx="3">
                  <c:v>4</c:v>
                </c:pt>
                <c:pt idx="4">
                  <c:v>2</c:v>
                </c:pt>
                <c:pt idx="5">
                  <c:v>2</c:v>
                </c:pt>
                <c:pt idx="6">
                  <c:v>1</c:v>
                </c:pt>
              </c:numCache>
              <c:extLst/>
            </c:numRef>
          </c:val>
          <c:extLst>
            <c:ext xmlns:c16="http://schemas.microsoft.com/office/drawing/2014/chart" uri="{C3380CC4-5D6E-409C-BE32-E72D297353CC}">
              <c16:uniqueId val="{00000000-A9B9-49EB-8746-AB805B896168}"/>
            </c:ext>
          </c:extLst>
        </c:ser>
        <c:dLbls>
          <c:showLegendKey val="0"/>
          <c:showVal val="0"/>
          <c:showCatName val="0"/>
          <c:showSerName val="0"/>
          <c:showPercent val="0"/>
          <c:showBubbleSize val="0"/>
        </c:dLbls>
        <c:gapWidth val="219"/>
        <c:axId val="1858993327"/>
        <c:axId val="1243631055"/>
      </c:barChart>
      <c:catAx>
        <c:axId val="185899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1243631055"/>
        <c:crosses val="autoZero"/>
        <c:auto val="1"/>
        <c:lblAlgn val="ctr"/>
        <c:lblOffset val="100"/>
        <c:noMultiLvlLbl val="0"/>
      </c:catAx>
      <c:valAx>
        <c:axId val="124363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18589933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Work Sans" panose="00000500000000000000" pitchFamily="50" charset="0"/>
                <a:ea typeface="+mn-ea"/>
                <a:cs typeface="+mn-cs"/>
              </a:defRPr>
            </a:pPr>
            <a:r>
              <a:rPr lang="en-GB" sz="1200" b="1"/>
              <a:t>Complaint</a:t>
            </a:r>
            <a:r>
              <a:rPr lang="en-GB" sz="1200" b="1" baseline="0"/>
              <a:t>s Response stage 1 (excluding extensions)</a:t>
            </a:r>
            <a:endParaRPr lang="en-GB" sz="1200" b="1"/>
          </a:p>
        </c:rich>
      </c:tx>
      <c:layout>
        <c:manualLayout>
          <c:xMode val="edge"/>
          <c:yMode val="edge"/>
          <c:x val="0.1450695708665049"/>
          <c:y val="6.5149571642177148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Work Sans" panose="00000500000000000000" pitchFamily="50" charset="0"/>
              <a:ea typeface="+mn-ea"/>
              <a:cs typeface="+mn-cs"/>
            </a:defRPr>
          </a:pPr>
          <a:endParaRPr lang="en-GB"/>
        </a:p>
      </c:txPr>
    </c:title>
    <c:autoTitleDeleted val="0"/>
    <c:plotArea>
      <c:layout>
        <c:manualLayout>
          <c:layoutTarget val="inner"/>
          <c:xMode val="edge"/>
          <c:yMode val="edge"/>
          <c:x val="8.8104166666666664E-2"/>
          <c:y val="0.18279768518518522"/>
          <c:w val="0.88417757936507935"/>
          <c:h val="0.58525972222222222"/>
        </c:manualLayout>
      </c:layout>
      <c:barChart>
        <c:barDir val="col"/>
        <c:grouping val="clustered"/>
        <c:varyColors val="0"/>
        <c:ser>
          <c:idx val="0"/>
          <c:order val="0"/>
          <c:tx>
            <c:strRef>
              <c:f>'Response Rates'!$A$4:$B$4</c:f>
              <c:strCache>
                <c:ptCount val="2"/>
                <c:pt idx="0">
                  <c:v>10 working days response %</c:v>
                </c:pt>
              </c:strCache>
            </c:strRef>
          </c:tx>
          <c:spPr>
            <a:solidFill>
              <a:srgbClr val="93B79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Work Sans" panose="00000500000000000000" pitchFamily="50"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'Response Rates'!$AX$3:$BD$3</c:f>
              <c:strCache>
                <c:ptCount val="5"/>
                <c:pt idx="0">
                  <c:v>2021/22</c:v>
                </c:pt>
                <c:pt idx="1">
                  <c:v>2022/23</c:v>
                </c:pt>
                <c:pt idx="2">
                  <c:v>2023/24</c:v>
                </c:pt>
                <c:pt idx="3">
                  <c:v>2024/25</c:v>
                </c:pt>
                <c:pt idx="4">
                  <c:v>2025/26</c:v>
                </c:pt>
              </c:strCache>
            </c:strRef>
          </c:cat>
          <c:val>
            <c:numRef>
              <c:f>'Response Rates'!$AX$4:$BD$4</c:f>
              <c:numCache>
                <c:formatCode>0%</c:formatCode>
                <c:ptCount val="5"/>
                <c:pt idx="0">
                  <c:v>0.63</c:v>
                </c:pt>
                <c:pt idx="1">
                  <c:v>0.78</c:v>
                </c:pt>
                <c:pt idx="2">
                  <c:v>0.67</c:v>
                </c:pt>
                <c:pt idx="3">
                  <c:v>0.7</c:v>
                </c:pt>
                <c:pt idx="4">
                  <c:v>0.86</c:v>
                </c:pt>
              </c:numCache>
            </c:numRef>
          </c:val>
          <c:extLst>
            <c:ext xmlns:c16="http://schemas.microsoft.com/office/drawing/2014/chart" uri="{C3380CC4-5D6E-409C-BE32-E72D297353CC}">
              <c16:uniqueId val="{00000000-F668-420D-A9D8-5139DCA20D65}"/>
            </c:ext>
          </c:extLst>
        </c:ser>
        <c:ser>
          <c:idx val="5"/>
          <c:order val="5"/>
          <c:tx>
            <c:strRef>
              <c:f>'Response Rates'!$A$9:$B$9</c:f>
              <c:strCache>
                <c:ptCount val="2"/>
                <c:pt idx="0">
                  <c:v>1 week response %</c:v>
                </c:pt>
              </c:strCache>
            </c:strRef>
          </c:tx>
          <c:spPr>
            <a:solidFill>
              <a:srgbClr val="F58D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Work Sans" panose="00000500000000000000" pitchFamily="50"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'Response Rates'!$AX$3:$BD$3</c:f>
              <c:strCache>
                <c:ptCount val="5"/>
                <c:pt idx="0">
                  <c:v>2021/22</c:v>
                </c:pt>
                <c:pt idx="1">
                  <c:v>2022/23</c:v>
                </c:pt>
                <c:pt idx="2">
                  <c:v>2023/24</c:v>
                </c:pt>
                <c:pt idx="3">
                  <c:v>2024/25</c:v>
                </c:pt>
                <c:pt idx="4">
                  <c:v>2025/26</c:v>
                </c:pt>
              </c:strCache>
            </c:strRef>
          </c:cat>
          <c:val>
            <c:numRef>
              <c:f>'Response Rates'!$AU$9:$BC$9</c:f>
              <c:numCache>
                <c:formatCode>General</c:formatCode>
                <c:ptCount val="5"/>
              </c:numCache>
            </c:numRef>
          </c:val>
          <c:extLst>
            <c:ext xmlns:c16="http://schemas.microsoft.com/office/drawing/2014/chart" uri="{C3380CC4-5D6E-409C-BE32-E72D297353CC}">
              <c16:uniqueId val="{00000001-F668-420D-A9D8-5139DCA20D65}"/>
            </c:ext>
          </c:extLst>
        </c:ser>
        <c:dLbls>
          <c:showLegendKey val="0"/>
          <c:showVal val="0"/>
          <c:showCatName val="0"/>
          <c:showSerName val="0"/>
          <c:showPercent val="0"/>
          <c:showBubbleSize val="0"/>
        </c:dLbls>
        <c:gapWidth val="147"/>
        <c:axId val="311754200"/>
        <c:axId val="311756496"/>
        <c:extLst>
          <c:ext xmlns:c15="http://schemas.microsoft.com/office/drawing/2012/chart" uri="{02D57815-91ED-43cb-92C2-25804820EDAC}">
            <c15:filteredBarSeries>
              <c15:ser>
                <c:idx val="1"/>
                <c:order val="1"/>
                <c:tx>
                  <c:strRef>
                    <c:extLst>
                      <c:ext uri="{02D57815-91ED-43cb-92C2-25804820EDAC}">
                        <c15:formulaRef>
                          <c15:sqref>'Response Rates'!$A$5:$B$5</c15:sqref>
                        </c15:formulaRef>
                      </c:ext>
                    </c:extLst>
                    <c:strCache>
                      <c:ptCount val="2"/>
                      <c:pt idx="0">
                        <c:v>2 week response % year to date</c:v>
                      </c:pt>
                    </c:strCache>
                  </c:strRef>
                </c:tx>
                <c:spPr>
                  <a:solidFill>
                    <a:schemeClr val="accent2"/>
                  </a:solidFill>
                  <a:ln>
                    <a:noFill/>
                  </a:ln>
                  <a:effectLst/>
                </c:spPr>
                <c:invertIfNegative val="0"/>
                <c:cat>
                  <c:strRef>
                    <c:extLst>
                      <c:ext uri="{02D57815-91ED-43cb-92C2-25804820EDAC}">
                        <c15:formulaRef>
                          <c15:sqref>'Response Rates'!$AX$3:$BD$3</c15:sqref>
                        </c15:formulaRef>
                      </c:ext>
                    </c:extLst>
                    <c:strCache>
                      <c:ptCount val="5"/>
                      <c:pt idx="0">
                        <c:v>2021/22</c:v>
                      </c:pt>
                      <c:pt idx="1">
                        <c:v>2022/23</c:v>
                      </c:pt>
                      <c:pt idx="2">
                        <c:v>2023/24</c:v>
                      </c:pt>
                      <c:pt idx="3">
                        <c:v>2024/25</c:v>
                      </c:pt>
                      <c:pt idx="4">
                        <c:v>2025/26</c:v>
                      </c:pt>
                    </c:strCache>
                  </c:strRef>
                </c:cat>
                <c:val>
                  <c:numRef>
                    <c:extLst>
                      <c:ext uri="{02D57815-91ED-43cb-92C2-25804820EDAC}">
                        <c15:formulaRef>
                          <c15:sqref>'Response Rates'!$AU$5:$BC$5</c15:sqref>
                        </c15:formulaRef>
                      </c:ext>
                    </c:extLst>
                    <c:numCache>
                      <c:formatCode>General</c:formatCode>
                      <c:ptCount val="5"/>
                    </c:numCache>
                  </c:numRef>
                </c:val>
                <c:extLst>
                  <c:ext xmlns:c16="http://schemas.microsoft.com/office/drawing/2014/chart" uri="{C3380CC4-5D6E-409C-BE32-E72D297353CC}">
                    <c16:uniqueId val="{00000004-F668-420D-A9D8-5139DCA20D6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'Response Rates'!$A$7:$B$7</c15:sqref>
                        </c15:formulaRef>
                      </c:ext>
                    </c:extLst>
                    <c:strCache>
                      <c:ptCount val="2"/>
                      <c:pt idx="0">
                        <c:v>1 week response % year to date</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'Response Rates'!$AX$3:$BD$3</c15:sqref>
                        </c15:formulaRef>
                      </c:ext>
                    </c:extLst>
                    <c:strCache>
                      <c:ptCount val="5"/>
                      <c:pt idx="0">
                        <c:v>2021/22</c:v>
                      </c:pt>
                      <c:pt idx="1">
                        <c:v>2022/23</c:v>
                      </c:pt>
                      <c:pt idx="2">
                        <c:v>2023/24</c:v>
                      </c:pt>
                      <c:pt idx="3">
                        <c:v>2024/25</c:v>
                      </c:pt>
                      <c:pt idx="4">
                        <c:v>2025/26</c:v>
                      </c:pt>
                    </c:strCache>
                  </c:strRef>
                </c:cat>
                <c:val>
                  <c:numRef>
                    <c:extLst xmlns:c15="http://schemas.microsoft.com/office/drawing/2012/chart">
                      <c:ext xmlns:c15="http://schemas.microsoft.com/office/drawing/2012/chart" uri="{02D57815-91ED-43cb-92C2-25804820EDAC}">
                        <c15:formulaRef>
                          <c15:sqref>'Response Rates'!$AU$7:$BC$7</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F668-420D-A9D8-5139DCA20D65}"/>
                  </c:ext>
                </c:extLst>
              </c15:ser>
            </c15:filteredBarSeries>
          </c:ext>
        </c:extLst>
      </c:barChart>
      <c:lineChart>
        <c:grouping val="standard"/>
        <c:varyColors val="0"/>
        <c:ser>
          <c:idx val="2"/>
          <c:order val="2"/>
          <c:tx>
            <c:strRef>
              <c:f>'Response Rates'!$A$6:$B$6</c:f>
              <c:strCache>
                <c:ptCount val="2"/>
                <c:pt idx="0">
                  <c:v>Target 90%</c:v>
                </c:pt>
              </c:strCache>
            </c:strRef>
          </c:tx>
          <c:spPr>
            <a:ln w="25400" cap="rnd">
              <a:solidFill>
                <a:srgbClr val="827CBA"/>
              </a:solidFill>
              <a:round/>
            </a:ln>
            <a:effectLst/>
          </c:spPr>
          <c:marker>
            <c:symbol val="none"/>
          </c:marker>
          <c:cat>
            <c:strRef>
              <c:f>'Response Rates'!$AU$3:$BC$3</c:f>
              <c:strCache>
                <c:ptCount val="5"/>
                <c:pt idx="0">
                  <c:v>2020/21</c:v>
                </c:pt>
                <c:pt idx="1">
                  <c:v>2021/22</c:v>
                </c:pt>
                <c:pt idx="2">
                  <c:v>2022/23</c:v>
                </c:pt>
                <c:pt idx="3">
                  <c:v>2023/24</c:v>
                </c:pt>
                <c:pt idx="4">
                  <c:v>2024/25</c:v>
                </c:pt>
              </c:strCache>
            </c:strRef>
          </c:cat>
          <c:val>
            <c:numRef>
              <c:f>'Response Rates'!$AU$6:$BC$6</c:f>
              <c:numCache>
                <c:formatCode>0%</c:formatCode>
                <c:ptCount val="5"/>
                <c:pt idx="0">
                  <c:v>0.9</c:v>
                </c:pt>
                <c:pt idx="1">
                  <c:v>0.9</c:v>
                </c:pt>
                <c:pt idx="2">
                  <c:v>0.9</c:v>
                </c:pt>
                <c:pt idx="3">
                  <c:v>0.9</c:v>
                </c:pt>
                <c:pt idx="4">
                  <c:v>0.9</c:v>
                </c:pt>
              </c:numCache>
            </c:numRef>
          </c:val>
          <c:smooth val="0"/>
          <c:extLst>
            <c:ext xmlns:c16="http://schemas.microsoft.com/office/drawing/2014/chart" uri="{C3380CC4-5D6E-409C-BE32-E72D297353CC}">
              <c16:uniqueId val="{00000002-F668-420D-A9D8-5139DCA20D65}"/>
            </c:ext>
          </c:extLst>
        </c:ser>
        <c:ser>
          <c:idx val="4"/>
          <c:order val="4"/>
          <c:tx>
            <c:strRef>
              <c:f>'Response Rates'!$A$8:$B$8</c:f>
              <c:strCache>
                <c:ptCount val="2"/>
                <c:pt idx="0">
                  <c:v>Target 50%</c:v>
                </c:pt>
              </c:strCache>
            </c:strRef>
          </c:tx>
          <c:spPr>
            <a:ln w="25400" cap="rnd">
              <a:solidFill>
                <a:srgbClr val="EDDC5F"/>
              </a:solidFill>
              <a:round/>
            </a:ln>
            <a:effectLst/>
          </c:spPr>
          <c:marker>
            <c:symbol val="none"/>
          </c:marker>
          <c:cat>
            <c:strRef>
              <c:f>'Response Rates'!$AU$3:$BC$3</c:f>
              <c:strCache>
                <c:ptCount val="5"/>
                <c:pt idx="0">
                  <c:v>2020/21</c:v>
                </c:pt>
                <c:pt idx="1">
                  <c:v>2021/22</c:v>
                </c:pt>
                <c:pt idx="2">
                  <c:v>2022/23</c:v>
                </c:pt>
                <c:pt idx="3">
                  <c:v>2023/24</c:v>
                </c:pt>
                <c:pt idx="4">
                  <c:v>2024/25</c:v>
                </c:pt>
              </c:strCache>
            </c:strRef>
          </c:cat>
          <c:val>
            <c:numRef>
              <c:f>'Response Rates'!$AU$8:$BC$8</c:f>
              <c:numCache>
                <c:formatCode>General</c:formatCode>
                <c:ptCount val="5"/>
              </c:numCache>
            </c:numRef>
          </c:val>
          <c:smooth val="0"/>
          <c:extLst>
            <c:ext xmlns:c16="http://schemas.microsoft.com/office/drawing/2014/chart" uri="{C3380CC4-5D6E-409C-BE32-E72D297353CC}">
              <c16:uniqueId val="{00000003-F668-420D-A9D8-5139DCA20D65}"/>
            </c:ext>
          </c:extLst>
        </c:ser>
        <c:dLbls>
          <c:showLegendKey val="0"/>
          <c:showVal val="0"/>
          <c:showCatName val="0"/>
          <c:showSerName val="0"/>
          <c:showPercent val="0"/>
          <c:showBubbleSize val="0"/>
        </c:dLbls>
        <c:marker val="1"/>
        <c:smooth val="0"/>
        <c:axId val="311754200"/>
        <c:axId val="311756496"/>
      </c:lineChart>
      <c:catAx>
        <c:axId val="311754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Work Sans" panose="00000500000000000000" pitchFamily="50" charset="0"/>
                <a:ea typeface="+mn-ea"/>
                <a:cs typeface="+mn-cs"/>
              </a:defRPr>
            </a:pPr>
            <a:endParaRPr lang="en-US"/>
          </a:p>
        </c:txPr>
        <c:crossAx val="311756496"/>
        <c:crosses val="autoZero"/>
        <c:auto val="1"/>
        <c:lblAlgn val="ctr"/>
        <c:lblOffset val="100"/>
        <c:noMultiLvlLbl val="0"/>
      </c:catAx>
      <c:valAx>
        <c:axId val="3117564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Work Sans" panose="00000500000000000000" pitchFamily="50" charset="0"/>
                <a:ea typeface="+mn-ea"/>
                <a:cs typeface="+mn-cs"/>
              </a:defRPr>
            </a:pPr>
            <a:endParaRPr lang="en-US"/>
          </a:p>
        </c:txPr>
        <c:crossAx val="311754200"/>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1.2091034107029122E-3"/>
          <c:y val="0.83564892186109996"/>
          <c:w val="0.99506190476190459"/>
          <c:h val="8.660567999308492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Work Sans" panose="00000500000000000000"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Work Sans" panose="00000500000000000000" pitchFamily="50"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83473220445792E-2"/>
          <c:y val="5.5091779943572429E-2"/>
          <c:w val="0.83971747522921547"/>
          <c:h val="0.69135415790032162"/>
        </c:manualLayout>
      </c:layout>
      <c:barChart>
        <c:barDir val="col"/>
        <c:grouping val="clustered"/>
        <c:varyColors val="0"/>
        <c:ser>
          <c:idx val="0"/>
          <c:order val="0"/>
          <c:tx>
            <c:strRef>
              <c:f>Satisfaction!$A$3</c:f>
              <c:strCache>
                <c:ptCount val="1"/>
                <c:pt idx="0">
                  <c:v>Overall Satisfaction - YTD %</c:v>
                </c:pt>
              </c:strCache>
            </c:strRef>
          </c:tx>
          <c:spPr>
            <a:solidFill>
              <a:srgbClr val="F58D92"/>
            </a:solidFill>
            <a:ln w="12700">
              <a:noFill/>
              <a:prstDash val="solid"/>
            </a:ln>
          </c:spPr>
          <c:invertIfNegative val="0"/>
          <c:dLbls>
            <c:spPr>
              <a:noFill/>
              <a:ln w="25400">
                <a:noFill/>
              </a:ln>
            </c:spPr>
            <c:txPr>
              <a:bodyPr/>
              <a:lstStyle/>
              <a:p>
                <a:pPr>
                  <a:defRPr b="1">
                    <a:solidFill>
                      <a:sysClr val="windowText" lastClr="000000"/>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Satisfaction!$AK$2:$AT$2</c:f>
              <c:strCache>
                <c:ptCount val="5"/>
                <c:pt idx="0">
                  <c:v>2021/22</c:v>
                </c:pt>
                <c:pt idx="1">
                  <c:v>2022/23</c:v>
                </c:pt>
                <c:pt idx="2">
                  <c:v>2023/24</c:v>
                </c:pt>
                <c:pt idx="3">
                  <c:v>2024/25</c:v>
                </c:pt>
                <c:pt idx="4">
                  <c:v>2025/26</c:v>
                </c:pt>
              </c:strCache>
            </c:strRef>
          </c:cat>
          <c:val>
            <c:numRef>
              <c:f>Satisfaction!$C$3:$AR$3</c:f>
              <c:numCache>
                <c:formatCode>General</c:formatCode>
                <c:ptCount val="4"/>
              </c:numCache>
            </c:numRef>
          </c:val>
          <c:extLst>
            <c:ext xmlns:c16="http://schemas.microsoft.com/office/drawing/2014/chart" uri="{C3380CC4-5D6E-409C-BE32-E72D297353CC}">
              <c16:uniqueId val="{00000000-374B-4170-950A-10AB16E3FDC6}"/>
            </c:ext>
          </c:extLst>
        </c:ser>
        <c:ser>
          <c:idx val="2"/>
          <c:order val="1"/>
          <c:tx>
            <c:strRef>
              <c:f>Satisfaction!$A$4</c:f>
              <c:strCache>
                <c:ptCount val="1"/>
                <c:pt idx="0">
                  <c:v>Overall satisfaction %</c:v>
                </c:pt>
              </c:strCache>
            </c:strRef>
          </c:tx>
          <c:spPr>
            <a:solidFill>
              <a:srgbClr val="93B79C"/>
            </a:solidFill>
            <a:ln w="22225">
              <a:noFill/>
              <a:prstDash val="solid"/>
            </a:ln>
          </c:spPr>
          <c:invertIfNegative val="0"/>
          <c:dLbls>
            <c:dLbl>
              <c:idx val="0"/>
              <c:layout>
                <c:manualLayout>
                  <c:x val="0"/>
                  <c:y val="5.51871657754010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4B-4170-950A-10AB16E3FDC6}"/>
                </c:ext>
              </c:extLst>
            </c:dLbl>
            <c:dLbl>
              <c:idx val="1"/>
              <c:layout>
                <c:manualLayout>
                  <c:x val="0"/>
                  <c:y val="4.65806832691139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4B-4170-950A-10AB16E3FDC6}"/>
                </c:ext>
              </c:extLst>
            </c:dLbl>
            <c:dLbl>
              <c:idx val="2"/>
              <c:layout>
                <c:manualLayout>
                  <c:x val="-8.4323641249357466E-17"/>
                  <c:y val="4.28076425829026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4B-4170-950A-10AB16E3FDC6}"/>
                </c:ext>
              </c:extLst>
            </c:dLbl>
            <c:dLbl>
              <c:idx val="3"/>
              <c:layout>
                <c:manualLayout>
                  <c:x val="0"/>
                  <c:y val="4.81180715434907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4B-4170-950A-10AB16E3FDC6}"/>
                </c:ext>
              </c:extLst>
            </c:dLbl>
            <c:spPr>
              <a:noFill/>
              <a:ln w="25400">
                <a:noFill/>
              </a:ln>
            </c:spPr>
            <c:txPr>
              <a:bodyPr/>
              <a:lstStyle/>
              <a:p>
                <a:pPr>
                  <a:defRPr b="1">
                    <a:solidFill>
                      <a:sysClr val="windowText" lastClr="000000"/>
                    </a:solidFill>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Satisfaction!$AK$2:$AT$2</c:f>
              <c:strCache>
                <c:ptCount val="5"/>
                <c:pt idx="0">
                  <c:v>2021/22</c:v>
                </c:pt>
                <c:pt idx="1">
                  <c:v>2022/23</c:v>
                </c:pt>
                <c:pt idx="2">
                  <c:v>2023/24</c:v>
                </c:pt>
                <c:pt idx="3">
                  <c:v>2024/25</c:v>
                </c:pt>
                <c:pt idx="4">
                  <c:v>2025/26</c:v>
                </c:pt>
              </c:strCache>
            </c:strRef>
          </c:cat>
          <c:val>
            <c:numRef>
              <c:f>Satisfaction!$AK$4:$AT$4</c:f>
              <c:numCache>
                <c:formatCode>0%</c:formatCode>
                <c:ptCount val="5"/>
                <c:pt idx="0">
                  <c:v>0.64</c:v>
                </c:pt>
                <c:pt idx="1">
                  <c:v>0.52</c:v>
                </c:pt>
                <c:pt idx="2">
                  <c:v>0.8</c:v>
                </c:pt>
                <c:pt idx="3">
                  <c:v>0.81</c:v>
                </c:pt>
                <c:pt idx="4">
                  <c:v>0.76</c:v>
                </c:pt>
              </c:numCache>
            </c:numRef>
          </c:val>
          <c:extLst>
            <c:ext xmlns:c16="http://schemas.microsoft.com/office/drawing/2014/chart" uri="{C3380CC4-5D6E-409C-BE32-E72D297353CC}">
              <c16:uniqueId val="{00000005-374B-4170-950A-10AB16E3FDC6}"/>
            </c:ext>
          </c:extLst>
        </c:ser>
        <c:dLbls>
          <c:showLegendKey val="0"/>
          <c:showVal val="0"/>
          <c:showCatName val="0"/>
          <c:showSerName val="0"/>
          <c:showPercent val="0"/>
          <c:showBubbleSize val="0"/>
        </c:dLbls>
        <c:gapWidth val="74"/>
        <c:overlap val="28"/>
        <c:axId val="1294113408"/>
        <c:axId val="1"/>
      </c:barChart>
      <c:lineChart>
        <c:grouping val="standard"/>
        <c:varyColors val="0"/>
        <c:ser>
          <c:idx val="3"/>
          <c:order val="2"/>
          <c:tx>
            <c:strRef>
              <c:f>Satisfaction!$A$6</c:f>
              <c:strCache>
                <c:ptCount val="1"/>
                <c:pt idx="0">
                  <c:v>Overall satisfaction target 75%</c:v>
                </c:pt>
              </c:strCache>
            </c:strRef>
          </c:tx>
          <c:spPr>
            <a:ln w="25400">
              <a:solidFill>
                <a:schemeClr val="tx1">
                  <a:alpha val="90000"/>
                </a:schemeClr>
              </a:solidFill>
              <a:prstDash val="solid"/>
            </a:ln>
          </c:spPr>
          <c:marker>
            <c:symbol val="diamond"/>
            <c:size val="5"/>
            <c:spPr>
              <a:solidFill>
                <a:schemeClr val="tx1"/>
              </a:solidFill>
              <a:ln w="25400">
                <a:solidFill>
                  <a:schemeClr val="tx1">
                    <a:alpha val="90000"/>
                  </a:schemeClr>
                </a:solidFill>
                <a:prstDash val="solid"/>
              </a:ln>
            </c:spPr>
          </c:marker>
          <c:cat>
            <c:strRef>
              <c:f>Satisfaction!$AK$2:$AT$2</c:f>
              <c:strCache>
                <c:ptCount val="5"/>
                <c:pt idx="0">
                  <c:v>2021/22</c:v>
                </c:pt>
                <c:pt idx="1">
                  <c:v>2022/23</c:v>
                </c:pt>
                <c:pt idx="2">
                  <c:v>2023/24</c:v>
                </c:pt>
                <c:pt idx="3">
                  <c:v>2024/25</c:v>
                </c:pt>
                <c:pt idx="4">
                  <c:v>2025/26</c:v>
                </c:pt>
              </c:strCache>
            </c:strRef>
          </c:cat>
          <c:val>
            <c:numRef>
              <c:f>Satisfaction!$AK$6:$AT$6</c:f>
              <c:numCache>
                <c:formatCode>0%</c:formatCode>
                <c:ptCount val="5"/>
                <c:pt idx="0">
                  <c:v>0.75</c:v>
                </c:pt>
                <c:pt idx="1">
                  <c:v>0.75</c:v>
                </c:pt>
                <c:pt idx="2">
                  <c:v>0.75</c:v>
                </c:pt>
                <c:pt idx="3">
                  <c:v>0.75</c:v>
                </c:pt>
                <c:pt idx="4">
                  <c:v>0.75</c:v>
                </c:pt>
              </c:numCache>
            </c:numRef>
          </c:val>
          <c:smooth val="0"/>
          <c:extLst>
            <c:ext xmlns:c16="http://schemas.microsoft.com/office/drawing/2014/chart" uri="{C3380CC4-5D6E-409C-BE32-E72D297353CC}">
              <c16:uniqueId val="{00000006-374B-4170-950A-10AB16E3FDC6}"/>
            </c:ext>
          </c:extLst>
        </c:ser>
        <c:dLbls>
          <c:showLegendKey val="0"/>
          <c:showVal val="0"/>
          <c:showCatName val="0"/>
          <c:showSerName val="0"/>
          <c:showPercent val="0"/>
          <c:showBubbleSize val="0"/>
        </c:dLbls>
        <c:marker val="1"/>
        <c:smooth val="0"/>
        <c:axId val="1294113408"/>
        <c:axId val="1"/>
      </c:lineChart>
      <c:lineChart>
        <c:grouping val="standard"/>
        <c:varyColors val="0"/>
        <c:ser>
          <c:idx val="1"/>
          <c:order val="3"/>
          <c:tx>
            <c:strRef>
              <c:f>Satisfaction!$A$7</c:f>
              <c:strCache>
                <c:ptCount val="1"/>
                <c:pt idx="0">
                  <c:v>Response Rate %</c:v>
                </c:pt>
              </c:strCache>
            </c:strRef>
          </c:tx>
          <c:spPr>
            <a:ln>
              <a:solidFill>
                <a:srgbClr val="ECDD6B"/>
              </a:solidFill>
            </a:ln>
          </c:spPr>
          <c:marker>
            <c:symbol val="diamond"/>
            <c:size val="5"/>
            <c:spPr>
              <a:solidFill>
                <a:srgbClr val="ECDD6B"/>
              </a:solidFill>
              <a:ln>
                <a:solidFill>
                  <a:srgbClr val="ECDD6B"/>
                </a:solidFill>
              </a:ln>
            </c:spPr>
          </c:marker>
          <c:dLbls>
            <c:dLbl>
              <c:idx val="0"/>
              <c:layout>
                <c:manualLayout>
                  <c:x val="-1.1498811185898697E-2"/>
                  <c:y val="1.69589866271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74B-4170-950A-10AB16E3FDC6}"/>
                </c:ext>
              </c:extLst>
            </c:dLbl>
            <c:dLbl>
              <c:idx val="1"/>
              <c:layout>
                <c:manualLayout>
                  <c:x val="-1.8398097897437848E-2"/>
                  <c:y val="5.3703457652497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74B-4170-950A-10AB16E3FDC6}"/>
                </c:ext>
              </c:extLst>
            </c:dLbl>
            <c:dLbl>
              <c:idx val="2"/>
              <c:layout>
                <c:manualLayout>
                  <c:x val="-1.7538674938567374E-2"/>
                  <c:y val="4.0711805613513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74B-4170-950A-10AB16E3FDC6}"/>
                </c:ext>
              </c:extLst>
            </c:dLbl>
            <c:dLbl>
              <c:idx val="3"/>
              <c:layout>
                <c:manualLayout>
                  <c:x val="-1.7608691206295869E-2"/>
                  <c:y val="3.21176448409222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74B-4170-950A-10AB16E3FDC6}"/>
                </c:ext>
              </c:extLst>
            </c:dLbl>
            <c:spPr>
              <a:noFill/>
              <a:ln w="25400">
                <a:noFill/>
              </a:ln>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Satisfaction!$AK$2:$AT$2</c:f>
              <c:strCache>
                <c:ptCount val="5"/>
                <c:pt idx="0">
                  <c:v>2021/22</c:v>
                </c:pt>
                <c:pt idx="1">
                  <c:v>2022/23</c:v>
                </c:pt>
                <c:pt idx="2">
                  <c:v>2023/24</c:v>
                </c:pt>
                <c:pt idx="3">
                  <c:v>2024/25</c:v>
                </c:pt>
                <c:pt idx="4">
                  <c:v>2025/26</c:v>
                </c:pt>
              </c:strCache>
            </c:strRef>
          </c:cat>
          <c:val>
            <c:numRef>
              <c:f>Satisfaction!$AK$7:$AT$7</c:f>
              <c:numCache>
                <c:formatCode>0%</c:formatCode>
                <c:ptCount val="5"/>
                <c:pt idx="0">
                  <c:v>0.35</c:v>
                </c:pt>
                <c:pt idx="1">
                  <c:v>0.46</c:v>
                </c:pt>
                <c:pt idx="2">
                  <c:v>0.42</c:v>
                </c:pt>
                <c:pt idx="3">
                  <c:v>0.39</c:v>
                </c:pt>
                <c:pt idx="4">
                  <c:v>0.3</c:v>
                </c:pt>
              </c:numCache>
            </c:numRef>
          </c:val>
          <c:smooth val="0"/>
          <c:extLst>
            <c:ext xmlns:c16="http://schemas.microsoft.com/office/drawing/2014/chart" uri="{C3380CC4-5D6E-409C-BE32-E72D297353CC}">
              <c16:uniqueId val="{0000000B-374B-4170-950A-10AB16E3FDC6}"/>
            </c:ext>
          </c:extLst>
        </c:ser>
        <c:dLbls>
          <c:showLegendKey val="0"/>
          <c:showVal val="0"/>
          <c:showCatName val="0"/>
          <c:showSerName val="0"/>
          <c:showPercent val="0"/>
          <c:showBubbleSize val="0"/>
        </c:dLbls>
        <c:marker val="1"/>
        <c:smooth val="0"/>
        <c:axId val="3"/>
        <c:axId val="4"/>
      </c:lineChart>
      <c:catAx>
        <c:axId val="1294113408"/>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a:pPr>
            <a:endParaRPr lang="en-US"/>
          </a:p>
        </c:txPr>
        <c:crossAx val="1"/>
        <c:crosses val="autoZero"/>
        <c:auto val="0"/>
        <c:lblAlgn val="ctr"/>
        <c:lblOffset val="100"/>
        <c:tickLblSkip val="1"/>
        <c:tickMarkSkip val="1"/>
        <c:noMultiLvlLbl val="0"/>
      </c:catAx>
      <c:valAx>
        <c:axId val="1"/>
        <c:scaling>
          <c:orientation val="minMax"/>
          <c:max val="1"/>
          <c:min val="0"/>
        </c:scaling>
        <c:delete val="0"/>
        <c:axPos val="l"/>
        <c:numFmt formatCode="0%" sourceLinked="0"/>
        <c:majorTickMark val="cross"/>
        <c:minorTickMark val="none"/>
        <c:tickLblPos val="nextTo"/>
        <c:spPr>
          <a:ln w="3175">
            <a:solidFill>
              <a:srgbClr val="000000"/>
            </a:solidFill>
            <a:prstDash val="solid"/>
          </a:ln>
        </c:spPr>
        <c:txPr>
          <a:bodyPr rot="0" vert="horz"/>
          <a:lstStyle/>
          <a:p>
            <a:pPr>
              <a:defRPr/>
            </a:pPr>
            <a:endParaRPr lang="en-US"/>
          </a:p>
        </c:txPr>
        <c:crossAx val="1294113408"/>
        <c:crosses val="autoZero"/>
        <c:crossBetween val="between"/>
        <c:majorUnit val="0.1"/>
        <c:minorUnit val="0.02"/>
      </c:valAx>
      <c:catAx>
        <c:axId val="3"/>
        <c:scaling>
          <c:orientation val="minMax"/>
        </c:scaling>
        <c:delete val="1"/>
        <c:axPos val="b"/>
        <c:numFmt formatCode="General" sourceLinked="1"/>
        <c:majorTickMark val="out"/>
        <c:minorTickMark val="none"/>
        <c:tickLblPos val="nextTo"/>
        <c:crossAx val="4"/>
        <c:crosses val="autoZero"/>
        <c:auto val="0"/>
        <c:lblAlgn val="ctr"/>
        <c:lblOffset val="100"/>
        <c:noMultiLvlLbl val="0"/>
      </c:catAx>
      <c:valAx>
        <c:axId val="4"/>
        <c:scaling>
          <c:orientation val="minMax"/>
          <c:max val="1"/>
        </c:scaling>
        <c:delete val="1"/>
        <c:axPos val="r"/>
        <c:numFmt formatCode="0%" sourceLinked="1"/>
        <c:majorTickMark val="out"/>
        <c:minorTickMark val="none"/>
        <c:tickLblPos val="nextTo"/>
        <c:crossAx val="3"/>
        <c:crosses val="max"/>
        <c:crossBetween val="between"/>
        <c:minorUnit val="4.0000000000000008E-2"/>
      </c:valAx>
    </c:plotArea>
    <c:legend>
      <c:legendPos val="b"/>
      <c:legendEntry>
        <c:idx val="0"/>
        <c:delete val="1"/>
      </c:legendEntry>
      <c:layout>
        <c:manualLayout>
          <c:xMode val="edge"/>
          <c:yMode val="edge"/>
          <c:x val="5.2692531470912227E-2"/>
          <c:y val="0.84868172465565783"/>
          <c:w val="0.86611254196979282"/>
          <c:h val="0.11597889232746268"/>
        </c:manualLayout>
      </c:layout>
      <c:overlay val="0"/>
      <c:spPr>
        <a:solidFill>
          <a:srgbClr val="FFFFFF"/>
        </a:solidFill>
        <a:ln w="3175">
          <a:noFill/>
          <a:prstDash val="solid"/>
        </a:ln>
      </c:spPr>
      <c:txPr>
        <a:bodyPr/>
        <a:lstStyle/>
        <a:p>
          <a:pPr>
            <a:defRPr sz="1100" baseline="0"/>
          </a:pPr>
          <a:endParaRPr lang="en-US"/>
        </a:p>
      </c:txPr>
    </c:legend>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Work Sans" panose="00000500000000000000" pitchFamily="50" charset="0"/>
          <a:ea typeface="Arial"/>
          <a:cs typeface="Aria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Work Sans" panose="00000500000000000000" pitchFamily="50" charset="0"/>
                <a:ea typeface="+mn-ea"/>
                <a:cs typeface="+mn-cs"/>
              </a:defRPr>
            </a:pPr>
            <a:r>
              <a:rPr lang="en-US" b="1"/>
              <a:t>Complaint satisfaction survey responses </a:t>
            </a:r>
          </a:p>
        </c:rich>
      </c:tx>
      <c:layout>
        <c:manualLayout>
          <c:xMode val="edge"/>
          <c:yMode val="edge"/>
          <c:x val="0.26903311017149267"/>
          <c:y val="2.732485453709263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Work Sans" panose="00000500000000000000" pitchFamily="50" charset="0"/>
              <a:ea typeface="+mn-ea"/>
              <a:cs typeface="+mn-cs"/>
            </a:defRPr>
          </a:pPr>
          <a:endParaRPr lang="en-US"/>
        </a:p>
      </c:txPr>
    </c:title>
    <c:autoTitleDeleted val="0"/>
    <c:plotArea>
      <c:layout/>
      <c:barChart>
        <c:barDir val="col"/>
        <c:grouping val="clustered"/>
        <c:varyColors val="0"/>
        <c:ser>
          <c:idx val="0"/>
          <c:order val="0"/>
          <c:tx>
            <c:strRef>
              <c:f>'Satisfaction 2'!$C$1:$C$2</c:f>
              <c:strCache>
                <c:ptCount val="2"/>
                <c:pt idx="1">
                  <c:v>2023/24</c:v>
                </c:pt>
              </c:strCache>
            </c:strRef>
          </c:tx>
          <c:spPr>
            <a:solidFill>
              <a:srgbClr val="FFC000"/>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BF95-4326-A707-E130578B31E0}"/>
              </c:ext>
            </c:extLst>
          </c:dPt>
          <c:dPt>
            <c:idx val="1"/>
            <c:invertIfNegative val="0"/>
            <c:bubble3D val="0"/>
            <c:spPr>
              <a:solidFill>
                <a:srgbClr val="FFC000"/>
              </a:solidFill>
              <a:ln>
                <a:noFill/>
              </a:ln>
              <a:effectLst/>
            </c:spPr>
            <c:extLst>
              <c:ext xmlns:c16="http://schemas.microsoft.com/office/drawing/2014/chart" uri="{C3380CC4-5D6E-409C-BE32-E72D297353CC}">
                <c16:uniqueId val="{00000003-BF95-4326-A707-E130578B31E0}"/>
              </c:ext>
            </c:extLst>
          </c:dPt>
          <c:dPt>
            <c:idx val="2"/>
            <c:invertIfNegative val="0"/>
            <c:bubble3D val="0"/>
            <c:spPr>
              <a:solidFill>
                <a:srgbClr val="FFC000"/>
              </a:solidFill>
              <a:ln>
                <a:noFill/>
              </a:ln>
              <a:effectLst/>
            </c:spPr>
            <c:extLst>
              <c:ext xmlns:c16="http://schemas.microsoft.com/office/drawing/2014/chart" uri="{C3380CC4-5D6E-409C-BE32-E72D297353CC}">
                <c16:uniqueId val="{00000005-BF95-4326-A707-E130578B31E0}"/>
              </c:ext>
            </c:extLst>
          </c:dPt>
          <c:dPt>
            <c:idx val="3"/>
            <c:invertIfNegative val="0"/>
            <c:bubble3D val="0"/>
            <c:spPr>
              <a:solidFill>
                <a:srgbClr val="FFC000"/>
              </a:solidFill>
              <a:ln>
                <a:noFill/>
              </a:ln>
              <a:effectLst/>
            </c:spPr>
            <c:extLst>
              <c:ext xmlns:c16="http://schemas.microsoft.com/office/drawing/2014/chart" uri="{C3380CC4-5D6E-409C-BE32-E72D297353CC}">
                <c16:uniqueId val="{00000007-BF95-4326-A707-E130578B31E0}"/>
              </c:ext>
            </c:extLst>
          </c:dPt>
          <c:dPt>
            <c:idx val="4"/>
            <c:invertIfNegative val="0"/>
            <c:bubble3D val="0"/>
            <c:spPr>
              <a:solidFill>
                <a:srgbClr val="FFC000"/>
              </a:solidFill>
              <a:ln>
                <a:noFill/>
              </a:ln>
              <a:effectLst/>
            </c:spPr>
            <c:extLst>
              <c:ext xmlns:c16="http://schemas.microsoft.com/office/drawing/2014/chart" uri="{C3380CC4-5D6E-409C-BE32-E72D297353CC}">
                <c16:uniqueId val="{00000009-BF95-4326-A707-E130578B31E0}"/>
              </c:ext>
            </c:extLst>
          </c:dPt>
          <c:dPt>
            <c:idx val="5"/>
            <c:invertIfNegative val="0"/>
            <c:bubble3D val="0"/>
            <c:spPr>
              <a:solidFill>
                <a:srgbClr val="FFC000"/>
              </a:solidFill>
              <a:ln>
                <a:noFill/>
              </a:ln>
              <a:effectLst/>
            </c:spPr>
            <c:extLst>
              <c:ext xmlns:c16="http://schemas.microsoft.com/office/drawing/2014/chart" uri="{C3380CC4-5D6E-409C-BE32-E72D297353CC}">
                <c16:uniqueId val="{0000000B-BF95-4326-A707-E130578B31E0}"/>
              </c:ext>
            </c:extLst>
          </c:dPt>
          <c:dLbls>
            <c:dLbl>
              <c:idx val="0"/>
              <c:layout>
                <c:manualLayout>
                  <c:x val="-3.4192328511821988E-17"/>
                  <c:y val="-9.269707617364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95-4326-A707-E130578B31E0}"/>
                </c:ext>
              </c:extLst>
            </c:dLbl>
            <c:dLbl>
              <c:idx val="2"/>
              <c:layout>
                <c:manualLayout>
                  <c:x val="1.86505764570102E-3"/>
                  <c:y val="-4.634853808682035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95-4326-A707-E130578B31E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2'!$A$3:$A$8</c:f>
              <c:strCache>
                <c:ptCount val="6"/>
                <c:pt idx="0">
                  <c:v>Understanding the issue</c:v>
                </c:pt>
                <c:pt idx="1">
                  <c:v>Treated with respect </c:v>
                </c:pt>
                <c:pt idx="2">
                  <c:v>Being kept informed </c:v>
                </c:pt>
                <c:pt idx="3">
                  <c:v>Ease of making complaint</c:v>
                </c:pt>
                <c:pt idx="4">
                  <c:v>Speed of our response </c:v>
                </c:pt>
                <c:pt idx="5">
                  <c:v>Overall outcome </c:v>
                </c:pt>
              </c:strCache>
            </c:strRef>
          </c:cat>
          <c:val>
            <c:numRef>
              <c:f>'Satisfaction 2'!$C$3:$C$8</c:f>
              <c:numCache>
                <c:formatCode>0%</c:formatCode>
                <c:ptCount val="6"/>
                <c:pt idx="0">
                  <c:v>0.7</c:v>
                </c:pt>
                <c:pt idx="1">
                  <c:v>0.87</c:v>
                </c:pt>
                <c:pt idx="2">
                  <c:v>0.77</c:v>
                </c:pt>
                <c:pt idx="3">
                  <c:v>0.84</c:v>
                </c:pt>
                <c:pt idx="4">
                  <c:v>0.73</c:v>
                </c:pt>
                <c:pt idx="5">
                  <c:v>0.67</c:v>
                </c:pt>
              </c:numCache>
            </c:numRef>
          </c:val>
          <c:extLst>
            <c:ext xmlns:c16="http://schemas.microsoft.com/office/drawing/2014/chart" uri="{C3380CC4-5D6E-409C-BE32-E72D297353CC}">
              <c16:uniqueId val="{0000000C-BF95-4326-A707-E130578B31E0}"/>
            </c:ext>
          </c:extLst>
        </c:ser>
        <c:ser>
          <c:idx val="1"/>
          <c:order val="1"/>
          <c:tx>
            <c:strRef>
              <c:f>'Satisfaction 2'!$D$1:$D$2</c:f>
              <c:strCache>
                <c:ptCount val="2"/>
                <c:pt idx="1">
                  <c:v>2024/25</c:v>
                </c:pt>
              </c:strCache>
            </c:strRef>
          </c:tx>
          <c:spPr>
            <a:solidFill>
              <a:schemeClr val="accent6"/>
            </a:solidFill>
            <a:ln>
              <a:noFill/>
            </a:ln>
            <a:effectLst/>
          </c:spPr>
          <c:invertIfNegative val="0"/>
          <c:dLbls>
            <c:dLbl>
              <c:idx val="0"/>
              <c:layout>
                <c:manualLayout>
                  <c:x val="1.86505764570102E-3"/>
                  <c:y val="4.63485380868199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F95-4326-A707-E130578B31E0}"/>
                </c:ext>
              </c:extLst>
            </c:dLbl>
            <c:dLbl>
              <c:idx val="2"/>
              <c:layout>
                <c:manualLayout>
                  <c:x val="0"/>
                  <c:y val="9.26970761736398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F95-4326-A707-E130578B31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2'!$A$3:$A$8</c:f>
              <c:strCache>
                <c:ptCount val="6"/>
                <c:pt idx="0">
                  <c:v>Understanding the issue</c:v>
                </c:pt>
                <c:pt idx="1">
                  <c:v>Treated with respect </c:v>
                </c:pt>
                <c:pt idx="2">
                  <c:v>Being kept informed </c:v>
                </c:pt>
                <c:pt idx="3">
                  <c:v>Ease of making complaint</c:v>
                </c:pt>
                <c:pt idx="4">
                  <c:v>Speed of our response </c:v>
                </c:pt>
                <c:pt idx="5">
                  <c:v>Overall outcome </c:v>
                </c:pt>
              </c:strCache>
            </c:strRef>
          </c:cat>
          <c:val>
            <c:numRef>
              <c:f>'Satisfaction 2'!$D$3:$D$8</c:f>
              <c:numCache>
                <c:formatCode>0%</c:formatCode>
                <c:ptCount val="6"/>
                <c:pt idx="0">
                  <c:v>0.69</c:v>
                </c:pt>
                <c:pt idx="1">
                  <c:v>0.84</c:v>
                </c:pt>
                <c:pt idx="2">
                  <c:v>0.76</c:v>
                </c:pt>
                <c:pt idx="3">
                  <c:v>0.81</c:v>
                </c:pt>
                <c:pt idx="4">
                  <c:v>0.76</c:v>
                </c:pt>
                <c:pt idx="5">
                  <c:v>0.74</c:v>
                </c:pt>
              </c:numCache>
            </c:numRef>
          </c:val>
          <c:extLst>
            <c:ext xmlns:c16="http://schemas.microsoft.com/office/drawing/2014/chart" uri="{C3380CC4-5D6E-409C-BE32-E72D297353CC}">
              <c16:uniqueId val="{0000000F-BF95-4326-A707-E130578B31E0}"/>
            </c:ext>
          </c:extLst>
        </c:ser>
        <c:ser>
          <c:idx val="2"/>
          <c:order val="2"/>
          <c:tx>
            <c:strRef>
              <c:f>'Satisfaction 2'!$E$1:$E$2</c:f>
              <c:strCache>
                <c:ptCount val="2"/>
                <c:pt idx="1">
                  <c:v>2025/26</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'Satisfaction 2'!$A$3:$A$8</c:f>
              <c:strCache>
                <c:ptCount val="6"/>
                <c:pt idx="0">
                  <c:v>Understanding the issue</c:v>
                </c:pt>
                <c:pt idx="1">
                  <c:v>Treated with respect </c:v>
                </c:pt>
                <c:pt idx="2">
                  <c:v>Being kept informed </c:v>
                </c:pt>
                <c:pt idx="3">
                  <c:v>Ease of making complaint</c:v>
                </c:pt>
                <c:pt idx="4">
                  <c:v>Speed of our response </c:v>
                </c:pt>
                <c:pt idx="5">
                  <c:v>Overall outcome </c:v>
                </c:pt>
              </c:strCache>
            </c:strRef>
          </c:cat>
          <c:val>
            <c:numRef>
              <c:f>'Satisfaction 2'!$E$3:$E$8</c:f>
              <c:numCache>
                <c:formatCode>0%</c:formatCode>
                <c:ptCount val="6"/>
                <c:pt idx="0">
                  <c:v>0.68</c:v>
                </c:pt>
                <c:pt idx="1">
                  <c:v>0.87</c:v>
                </c:pt>
                <c:pt idx="2">
                  <c:v>0.75</c:v>
                </c:pt>
                <c:pt idx="3">
                  <c:v>0.82</c:v>
                </c:pt>
                <c:pt idx="4">
                  <c:v>0.8</c:v>
                </c:pt>
                <c:pt idx="5">
                  <c:v>0.7</c:v>
                </c:pt>
              </c:numCache>
            </c:numRef>
          </c:val>
          <c:extLst>
            <c:ext xmlns:c16="http://schemas.microsoft.com/office/drawing/2014/chart" uri="{C3380CC4-5D6E-409C-BE32-E72D297353CC}">
              <c16:uniqueId val="{00000010-BF95-4326-A707-E130578B31E0}"/>
            </c:ext>
          </c:extLst>
        </c:ser>
        <c:dLbls>
          <c:dLblPos val="outEnd"/>
          <c:showLegendKey val="0"/>
          <c:showVal val="1"/>
          <c:showCatName val="0"/>
          <c:showSerName val="0"/>
          <c:showPercent val="0"/>
          <c:showBubbleSize val="0"/>
        </c:dLbls>
        <c:gapWidth val="219"/>
        <c:overlap val="-27"/>
        <c:axId val="440501864"/>
        <c:axId val="440502192"/>
      </c:barChart>
      <c:catAx>
        <c:axId val="440501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440502192"/>
        <c:crosses val="autoZero"/>
        <c:auto val="1"/>
        <c:lblAlgn val="ctr"/>
        <c:lblOffset val="100"/>
        <c:noMultiLvlLbl val="0"/>
      </c:catAx>
      <c:valAx>
        <c:axId val="440502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440501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Work Sans" panose="00000500000000000000" pitchFamily="50"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r>
              <a:rPr lang="en-GB">
                <a:latin typeface="Work Sans" panose="00000500000000000000" pitchFamily="50" charset="0"/>
              </a:rPr>
              <a:t>Complaints</a:t>
            </a:r>
            <a:r>
              <a:rPr lang="en-GB" baseline="0">
                <a:latin typeface="Work Sans" panose="00000500000000000000" pitchFamily="50" charset="0"/>
              </a:rPr>
              <a:t> by service area</a:t>
            </a:r>
            <a:endParaRPr lang="en-GB">
              <a:latin typeface="Work Sans" panose="00000500000000000000" pitchFamily="50" charset="0"/>
            </a:endParaRPr>
          </a:p>
        </c:rich>
      </c:tx>
      <c:layout>
        <c:manualLayout>
          <c:xMode val="edge"/>
          <c:yMode val="edge"/>
          <c:x val="0.33730534709163662"/>
          <c:y val="3.98009950248756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endParaRPr lang="en-GB"/>
        </a:p>
      </c:txPr>
    </c:title>
    <c:autoTitleDeleted val="0"/>
    <c:plotArea>
      <c:layout/>
      <c:barChart>
        <c:barDir val="col"/>
        <c:grouping val="stacked"/>
        <c:varyColors val="0"/>
        <c:ser>
          <c:idx val="0"/>
          <c:order val="0"/>
          <c:tx>
            <c:strRef>
              <c:f>'Complaints by Service Area'!$A$2</c:f>
              <c:strCache>
                <c:ptCount val="1"/>
                <c:pt idx="0">
                  <c:v>Customer Connect</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Service Area'!$B$2:$M$2</c:f>
              <c:numCache>
                <c:formatCode>General</c:formatCode>
                <c:ptCount val="12"/>
                <c:pt idx="3">
                  <c:v>1</c:v>
                </c:pt>
                <c:pt idx="4">
                  <c:v>2</c:v>
                </c:pt>
                <c:pt idx="7">
                  <c:v>1</c:v>
                </c:pt>
                <c:pt idx="8">
                  <c:v>1</c:v>
                </c:pt>
                <c:pt idx="11">
                  <c:v>1</c:v>
                </c:pt>
              </c:numCache>
            </c:numRef>
          </c:val>
          <c:extLst>
            <c:ext xmlns:c16="http://schemas.microsoft.com/office/drawing/2014/chart" uri="{C3380CC4-5D6E-409C-BE32-E72D297353CC}">
              <c16:uniqueId val="{00000000-6FBE-44A7-B830-045D0BB31BAC}"/>
            </c:ext>
          </c:extLst>
        </c:ser>
        <c:ser>
          <c:idx val="1"/>
          <c:order val="1"/>
          <c:tx>
            <c:strRef>
              <c:f>'Complaints by Service Area'!$A$3</c:f>
              <c:strCache>
                <c:ptCount val="1"/>
                <c:pt idx="0">
                  <c:v>Development </c:v>
                </c:pt>
              </c:strCache>
            </c:strRef>
          </c:tx>
          <c:spPr>
            <a:solidFill>
              <a:srgbClr val="D2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Service Area'!$B$3:$M$3</c:f>
              <c:numCache>
                <c:formatCode>General</c:formatCode>
                <c:ptCount val="12"/>
                <c:pt idx="0">
                  <c:v>2</c:v>
                </c:pt>
              </c:numCache>
            </c:numRef>
          </c:val>
          <c:extLst>
            <c:ext xmlns:c16="http://schemas.microsoft.com/office/drawing/2014/chart" uri="{C3380CC4-5D6E-409C-BE32-E72D297353CC}">
              <c16:uniqueId val="{00000001-6FBE-44A7-B830-045D0BB31BAC}"/>
            </c:ext>
          </c:extLst>
        </c:ser>
        <c:ser>
          <c:idx val="2"/>
          <c:order val="2"/>
          <c:tx>
            <c:strRef>
              <c:f>'Complaints by Service Area'!$A$4</c:f>
              <c:strCache>
                <c:ptCount val="1"/>
                <c:pt idx="0">
                  <c:v>Landlord Services</c:v>
                </c:pt>
              </c:strCache>
            </c:strRef>
          </c:tx>
          <c:spPr>
            <a:solidFill>
              <a:srgbClr val="0081E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Service Area'!$B$4:$M$4</c:f>
              <c:numCache>
                <c:formatCode>General</c:formatCode>
                <c:ptCount val="12"/>
                <c:pt idx="0">
                  <c:v>2</c:v>
                </c:pt>
                <c:pt idx="1">
                  <c:v>3</c:v>
                </c:pt>
                <c:pt idx="2">
                  <c:v>3</c:v>
                </c:pt>
                <c:pt idx="3">
                  <c:v>4</c:v>
                </c:pt>
                <c:pt idx="4">
                  <c:v>2</c:v>
                </c:pt>
                <c:pt idx="5">
                  <c:v>3</c:v>
                </c:pt>
                <c:pt idx="6">
                  <c:v>4</c:v>
                </c:pt>
                <c:pt idx="7">
                  <c:v>1</c:v>
                </c:pt>
                <c:pt idx="8">
                  <c:v>2</c:v>
                </c:pt>
                <c:pt idx="10">
                  <c:v>1</c:v>
                </c:pt>
              </c:numCache>
            </c:numRef>
          </c:val>
          <c:extLst>
            <c:ext xmlns:c16="http://schemas.microsoft.com/office/drawing/2014/chart" uri="{C3380CC4-5D6E-409C-BE32-E72D297353CC}">
              <c16:uniqueId val="{00000002-6FBE-44A7-B830-045D0BB31BAC}"/>
            </c:ext>
          </c:extLst>
        </c:ser>
        <c:ser>
          <c:idx val="3"/>
          <c:order val="3"/>
          <c:tx>
            <c:strRef>
              <c:f>'Complaints by Service Area'!$A$5</c:f>
              <c:strCache>
                <c:ptCount val="1"/>
                <c:pt idx="0">
                  <c:v>Leasehold &amp; Service Charge</c:v>
                </c:pt>
              </c:strCache>
            </c:strRef>
          </c:tx>
          <c:spPr>
            <a:solidFill>
              <a:srgbClr val="FFCC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Service Area'!$B$5:$M$5</c:f>
              <c:numCache>
                <c:formatCode>General</c:formatCode>
                <c:ptCount val="12"/>
              </c:numCache>
            </c:numRef>
          </c:val>
          <c:extLst>
            <c:ext xmlns:c16="http://schemas.microsoft.com/office/drawing/2014/chart" uri="{C3380CC4-5D6E-409C-BE32-E72D297353CC}">
              <c16:uniqueId val="{00000003-6FBE-44A7-B830-045D0BB31BAC}"/>
            </c:ext>
          </c:extLst>
        </c:ser>
        <c:ser>
          <c:idx val="4"/>
          <c:order val="4"/>
          <c:tx>
            <c:strRef>
              <c:f>'Complaints by Service Area'!$A$6</c:f>
              <c:strCache>
                <c:ptCount val="1"/>
                <c:pt idx="0">
                  <c:v>LiveWell</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Service Area'!$B$6:$M$6</c:f>
              <c:numCache>
                <c:formatCode>General</c:formatCode>
                <c:ptCount val="12"/>
                <c:pt idx="0">
                  <c:v>1</c:v>
                </c:pt>
                <c:pt idx="1">
                  <c:v>2</c:v>
                </c:pt>
                <c:pt idx="2">
                  <c:v>4</c:v>
                </c:pt>
                <c:pt idx="3">
                  <c:v>1</c:v>
                </c:pt>
                <c:pt idx="4">
                  <c:v>3</c:v>
                </c:pt>
                <c:pt idx="5">
                  <c:v>2</c:v>
                </c:pt>
                <c:pt idx="7">
                  <c:v>2</c:v>
                </c:pt>
                <c:pt idx="8">
                  <c:v>2</c:v>
                </c:pt>
              </c:numCache>
            </c:numRef>
          </c:val>
          <c:extLst>
            <c:ext xmlns:c16="http://schemas.microsoft.com/office/drawing/2014/chart" uri="{C3380CC4-5D6E-409C-BE32-E72D297353CC}">
              <c16:uniqueId val="{00000004-6FBE-44A7-B830-045D0BB31BAC}"/>
            </c:ext>
          </c:extLst>
        </c:ser>
        <c:ser>
          <c:idx val="5"/>
          <c:order val="5"/>
          <c:tx>
            <c:strRef>
              <c:f>'Complaints by Service Area'!$A$7</c:f>
              <c:strCache>
                <c:ptCount val="1"/>
                <c:pt idx="0">
                  <c:v>Property Services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'Complaints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'Complaints by Service Area'!$B$7:$M$7</c:f>
              <c:numCache>
                <c:formatCode>General</c:formatCode>
                <c:ptCount val="12"/>
                <c:pt idx="0">
                  <c:v>17</c:v>
                </c:pt>
                <c:pt idx="1">
                  <c:v>12</c:v>
                </c:pt>
                <c:pt idx="2">
                  <c:v>24</c:v>
                </c:pt>
                <c:pt idx="3">
                  <c:v>17</c:v>
                </c:pt>
                <c:pt idx="4">
                  <c:v>17</c:v>
                </c:pt>
                <c:pt idx="5">
                  <c:v>17</c:v>
                </c:pt>
                <c:pt idx="6">
                  <c:v>26</c:v>
                </c:pt>
                <c:pt idx="7">
                  <c:v>23</c:v>
                </c:pt>
                <c:pt idx="8">
                  <c:v>21</c:v>
                </c:pt>
                <c:pt idx="9">
                  <c:v>32</c:v>
                </c:pt>
                <c:pt idx="10">
                  <c:v>34</c:v>
                </c:pt>
                <c:pt idx="11">
                  <c:v>26</c:v>
                </c:pt>
              </c:numCache>
            </c:numRef>
          </c:val>
          <c:extLst>
            <c:ext xmlns:c16="http://schemas.microsoft.com/office/drawing/2014/chart" uri="{C3380CC4-5D6E-409C-BE32-E72D297353CC}">
              <c16:uniqueId val="{00000005-6FBE-44A7-B830-045D0BB31BAC}"/>
            </c:ext>
          </c:extLst>
        </c:ser>
        <c:dLbls>
          <c:dLblPos val="ctr"/>
          <c:showLegendKey val="0"/>
          <c:showVal val="1"/>
          <c:showCatName val="0"/>
          <c:showSerName val="0"/>
          <c:showPercent val="0"/>
          <c:showBubbleSize val="0"/>
        </c:dLbls>
        <c:gapWidth val="150"/>
        <c:overlap val="100"/>
        <c:axId val="895957792"/>
        <c:axId val="895958512"/>
      </c:barChart>
      <c:catAx>
        <c:axId val="89595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895958512"/>
        <c:crosses val="autoZero"/>
        <c:auto val="1"/>
        <c:lblAlgn val="ctr"/>
        <c:lblOffset val="100"/>
        <c:noMultiLvlLbl val="0"/>
      </c:catAx>
      <c:valAx>
        <c:axId val="89595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89595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r>
              <a:rPr lang="en-GB"/>
              <a:t>Reviews by service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Work Sans" panose="00000500000000000000" pitchFamily="50" charset="0"/>
              <a:ea typeface="+mn-ea"/>
              <a:cs typeface="+mn-cs"/>
            </a:defRPr>
          </a:pPr>
          <a:endParaRPr lang="en-US"/>
        </a:p>
      </c:txPr>
    </c:title>
    <c:autoTitleDeleted val="0"/>
    <c:plotArea>
      <c:layout>
        <c:manualLayout>
          <c:layoutTarget val="inner"/>
          <c:xMode val="edge"/>
          <c:yMode val="edge"/>
          <c:x val="3.4813270119431673E-2"/>
          <c:y val="0.11211681573819753"/>
          <c:w val="0.94772453328623418"/>
          <c:h val="0.69689367795854174"/>
        </c:manualLayout>
      </c:layout>
      <c:barChart>
        <c:barDir val="col"/>
        <c:grouping val="stacked"/>
        <c:varyColors val="0"/>
        <c:ser>
          <c:idx val="0"/>
          <c:order val="0"/>
          <c:tx>
            <c:strRef>
              <c:f>'Reviews by Service Area'!$A$2</c:f>
              <c:strCache>
                <c:ptCount val="1"/>
                <c:pt idx="0">
                  <c:v>Customer Connect</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'Reviews by Service Area'!$B$2:$M$2</c:f>
              <c:numCache>
                <c:formatCode>General</c:formatCode>
                <c:ptCount val="12"/>
              </c:numCache>
            </c:numRef>
          </c:val>
          <c:extLst>
            <c:ext xmlns:c16="http://schemas.microsoft.com/office/drawing/2014/chart" uri="{C3380CC4-5D6E-409C-BE32-E72D297353CC}">
              <c16:uniqueId val="{00000000-E586-40A4-A29B-17B18BF4E5BB}"/>
            </c:ext>
          </c:extLst>
        </c:ser>
        <c:ser>
          <c:idx val="1"/>
          <c:order val="1"/>
          <c:tx>
            <c:strRef>
              <c:f>'Reviews by Service Area'!$A$3</c:f>
              <c:strCache>
                <c:ptCount val="1"/>
                <c:pt idx="0">
                  <c:v>Development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'Reviews by Service Area'!$B$3:$M$3</c:f>
              <c:numCache>
                <c:formatCode>General</c:formatCode>
                <c:ptCount val="12"/>
              </c:numCache>
            </c:numRef>
          </c:val>
          <c:extLst>
            <c:ext xmlns:c16="http://schemas.microsoft.com/office/drawing/2014/chart" uri="{C3380CC4-5D6E-409C-BE32-E72D297353CC}">
              <c16:uniqueId val="{00000001-E586-40A4-A29B-17B18BF4E5BB}"/>
            </c:ext>
          </c:extLst>
        </c:ser>
        <c:ser>
          <c:idx val="2"/>
          <c:order val="2"/>
          <c:tx>
            <c:strRef>
              <c:f>'Reviews by Service Area'!$A$4</c:f>
              <c:strCache>
                <c:ptCount val="1"/>
                <c:pt idx="0">
                  <c:v>Landlord Services</c:v>
                </c:pt>
              </c:strCache>
            </c:strRef>
          </c:tx>
          <c:spPr>
            <a:solidFill>
              <a:srgbClr val="0081E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'Reviews by Service Area'!$B$4:$M$4</c:f>
              <c:numCache>
                <c:formatCode>General</c:formatCode>
                <c:ptCount val="12"/>
                <c:pt idx="1">
                  <c:v>1</c:v>
                </c:pt>
                <c:pt idx="4">
                  <c:v>1</c:v>
                </c:pt>
                <c:pt idx="6">
                  <c:v>2</c:v>
                </c:pt>
                <c:pt idx="8">
                  <c:v>1</c:v>
                </c:pt>
              </c:numCache>
            </c:numRef>
          </c:val>
          <c:extLst>
            <c:ext xmlns:c16="http://schemas.microsoft.com/office/drawing/2014/chart" uri="{C3380CC4-5D6E-409C-BE32-E72D297353CC}">
              <c16:uniqueId val="{00000002-E586-40A4-A29B-17B18BF4E5BB}"/>
            </c:ext>
          </c:extLst>
        </c:ser>
        <c:ser>
          <c:idx val="3"/>
          <c:order val="3"/>
          <c:tx>
            <c:strRef>
              <c:f>'Reviews by Service Area'!$A$5</c:f>
              <c:strCache>
                <c:ptCount val="1"/>
                <c:pt idx="0">
                  <c:v>Leasehold &amp; Service Charge</c:v>
                </c:pt>
              </c:strCache>
            </c:strRef>
          </c:tx>
          <c:spPr>
            <a:solidFill>
              <a:srgbClr val="FFCC6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'Reviews by Service Area'!$B$5:$M$5</c:f>
              <c:numCache>
                <c:formatCode>General</c:formatCode>
                <c:ptCount val="12"/>
              </c:numCache>
            </c:numRef>
          </c:val>
          <c:extLst>
            <c:ext xmlns:c16="http://schemas.microsoft.com/office/drawing/2014/chart" uri="{C3380CC4-5D6E-409C-BE32-E72D297353CC}">
              <c16:uniqueId val="{00000003-E586-40A4-A29B-17B18BF4E5BB}"/>
            </c:ext>
          </c:extLst>
        </c:ser>
        <c:ser>
          <c:idx val="4"/>
          <c:order val="4"/>
          <c:tx>
            <c:strRef>
              <c:f>'Reviews by Service Area'!$A$6</c:f>
              <c:strCache>
                <c:ptCount val="1"/>
                <c:pt idx="0">
                  <c:v>LiveWell</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'Reviews by Service Area'!$B$6:$M$6</c:f>
              <c:numCache>
                <c:formatCode>General</c:formatCode>
                <c:ptCount val="12"/>
                <c:pt idx="3">
                  <c:v>1</c:v>
                </c:pt>
              </c:numCache>
            </c:numRef>
          </c:val>
          <c:extLst>
            <c:ext xmlns:c16="http://schemas.microsoft.com/office/drawing/2014/chart" uri="{C3380CC4-5D6E-409C-BE32-E72D297353CC}">
              <c16:uniqueId val="{00000004-E586-40A4-A29B-17B18BF4E5BB}"/>
            </c:ext>
          </c:extLst>
        </c:ser>
        <c:ser>
          <c:idx val="5"/>
          <c:order val="5"/>
          <c:tx>
            <c:strRef>
              <c:f>'Reviews by Service Area'!$A$7</c:f>
              <c:strCache>
                <c:ptCount val="1"/>
                <c:pt idx="0">
                  <c:v>Property Services </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Work Sans" panose="00000500000000000000"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'Reviews by Service Area'!$B$1:$M$1</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'Reviews by Service Area'!$B$7:$M$7</c:f>
              <c:numCache>
                <c:formatCode>General</c:formatCode>
                <c:ptCount val="12"/>
                <c:pt idx="0">
                  <c:v>1</c:v>
                </c:pt>
                <c:pt idx="1">
                  <c:v>2</c:v>
                </c:pt>
                <c:pt idx="2">
                  <c:v>2</c:v>
                </c:pt>
                <c:pt idx="3">
                  <c:v>1</c:v>
                </c:pt>
                <c:pt idx="4">
                  <c:v>2</c:v>
                </c:pt>
                <c:pt idx="5">
                  <c:v>3</c:v>
                </c:pt>
                <c:pt idx="6">
                  <c:v>2</c:v>
                </c:pt>
                <c:pt idx="7">
                  <c:v>3</c:v>
                </c:pt>
                <c:pt idx="8">
                  <c:v>2</c:v>
                </c:pt>
                <c:pt idx="9">
                  <c:v>4</c:v>
                </c:pt>
                <c:pt idx="10">
                  <c:v>6</c:v>
                </c:pt>
                <c:pt idx="11">
                  <c:v>7</c:v>
                </c:pt>
              </c:numCache>
            </c:numRef>
          </c:val>
          <c:extLst>
            <c:ext xmlns:c16="http://schemas.microsoft.com/office/drawing/2014/chart" uri="{C3380CC4-5D6E-409C-BE32-E72D297353CC}">
              <c16:uniqueId val="{00000005-E586-40A4-A29B-17B18BF4E5BB}"/>
            </c:ext>
          </c:extLst>
        </c:ser>
        <c:dLbls>
          <c:dLblPos val="ctr"/>
          <c:showLegendKey val="0"/>
          <c:showVal val="1"/>
          <c:showCatName val="0"/>
          <c:showSerName val="0"/>
          <c:showPercent val="0"/>
          <c:showBubbleSize val="0"/>
        </c:dLbls>
        <c:gapWidth val="150"/>
        <c:overlap val="100"/>
        <c:axId val="1087158880"/>
        <c:axId val="1087159240"/>
      </c:barChart>
      <c:catAx>
        <c:axId val="108715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1087159240"/>
        <c:crosses val="autoZero"/>
        <c:auto val="1"/>
        <c:lblAlgn val="ctr"/>
        <c:lblOffset val="100"/>
        <c:noMultiLvlLbl val="0"/>
      </c:catAx>
      <c:valAx>
        <c:axId val="1087159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crossAx val="1087158880"/>
        <c:crosses val="autoZero"/>
        <c:crossBetween val="between"/>
      </c:valAx>
      <c:spPr>
        <a:noFill/>
        <a:ln>
          <a:noFill/>
        </a:ln>
        <a:effectLst/>
      </c:spPr>
    </c:plotArea>
    <c:legend>
      <c:legendPos val="b"/>
      <c:legendEntry>
        <c:idx val="0"/>
        <c:delete val="1"/>
      </c:legendEntry>
      <c:legendEntry>
        <c:idx val="3"/>
        <c:delete val="1"/>
      </c:legendEntry>
      <c:layout>
        <c:manualLayout>
          <c:xMode val="edge"/>
          <c:yMode val="edge"/>
          <c:x val="2.4952066457845288E-2"/>
          <c:y val="0.90110524215320331"/>
          <c:w val="0.95485815933948137"/>
          <c:h val="8.100617414371903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Work Sans" panose="00000500000000000000"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Work Sans" panose="00000500000000000000" pitchFamily="50"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45F82"/>
    </a:accent1>
    <a:accent2>
      <a:srgbClr val="E87331"/>
    </a:accent2>
    <a:accent3>
      <a:srgbClr val="186C24"/>
    </a:accent3>
    <a:accent4>
      <a:srgbClr val="0F9ED5"/>
    </a:accent4>
    <a:accent5>
      <a:srgbClr val="A02B93"/>
    </a:accent5>
    <a:accent6>
      <a:srgbClr val="4EA72E"/>
    </a:accent6>
    <a:hlink>
      <a:srgbClr val="467886"/>
    </a:hlink>
    <a:folHlink>
      <a:srgbClr val="96607D"/>
    </a:folHlink>
  </a:clrScheme>
  <a:fontScheme name="Office">
    <a:majorFont>
      <a:latin typeface="Aptos Display"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5f55ab-a5d3-46e5-9177-6ff242197378">
      <Terms xmlns="http://schemas.microsoft.com/office/infopath/2007/PartnerControls"/>
    </lcf76f155ced4ddcb4097134ff3c332f>
    <TaxCatchAll xmlns="5706130a-b8e4-452a-8bd1-eb0408b1da8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529DF89E42BE43BDFE928054311CFA" ma:contentTypeVersion="18" ma:contentTypeDescription="Create a new document." ma:contentTypeScope="" ma:versionID="9fb52c4a3b321ce453ce33d44a611745">
  <xsd:schema xmlns:xsd="http://www.w3.org/2001/XMLSchema" xmlns:xs="http://www.w3.org/2001/XMLSchema" xmlns:p="http://schemas.microsoft.com/office/2006/metadata/properties" xmlns:ns2="1c5f55ab-a5d3-46e5-9177-6ff242197378" xmlns:ns3="5706130a-b8e4-452a-8bd1-eb0408b1da8b" targetNamespace="http://schemas.microsoft.com/office/2006/metadata/properties" ma:root="true" ma:fieldsID="472aa88502fcae8a12c8ce14bd707b3f" ns2:_="" ns3:_="">
    <xsd:import namespace="1c5f55ab-a5d3-46e5-9177-6ff242197378"/>
    <xsd:import namespace="5706130a-b8e4-452a-8bd1-eb0408b1da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f55ab-a5d3-46e5-9177-6ff242197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7e72c4-b925-418f-836a-12b28445e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6130a-b8e4-452a-8bd1-eb0408b1d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bd1870-c2e8-431b-981b-188ff4a5ea60}" ma:internalName="TaxCatchAll" ma:showField="CatchAllData" ma:web="5706130a-b8e4-452a-8bd1-eb0408b1d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A7786-A28E-455B-A2F7-3FD23B4C61F2}">
  <ds:schemaRefs>
    <ds:schemaRef ds:uri="http://schemas.microsoft.com/office/2006/metadata/properties"/>
    <ds:schemaRef ds:uri="http://schemas.microsoft.com/office/infopath/2007/PartnerControls"/>
    <ds:schemaRef ds:uri="1c5f55ab-a5d3-46e5-9177-6ff242197378"/>
    <ds:schemaRef ds:uri="5706130a-b8e4-452a-8bd1-eb0408b1da8b"/>
  </ds:schemaRefs>
</ds:datastoreItem>
</file>

<file path=customXml/itemProps2.xml><?xml version="1.0" encoding="utf-8"?>
<ds:datastoreItem xmlns:ds="http://schemas.openxmlformats.org/officeDocument/2006/customXml" ds:itemID="{3D284F6D-77DF-4090-A439-9A4A30146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f55ab-a5d3-46e5-9177-6ff242197378"/>
    <ds:schemaRef ds:uri="5706130a-b8e4-452a-8bd1-eb0408b1d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4D64C5-23A0-4642-B8F7-06632CD937D6}">
  <ds:schemaRefs>
    <ds:schemaRef ds:uri="http://schemas.openxmlformats.org/officeDocument/2006/bibliography"/>
  </ds:schemaRefs>
</ds:datastoreItem>
</file>

<file path=customXml/itemProps4.xml><?xml version="1.0" encoding="utf-8"?>
<ds:datastoreItem xmlns:ds="http://schemas.openxmlformats.org/officeDocument/2006/customXml" ds:itemID="{FAD521A7-E14C-4701-B068-451D2C5F78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7702</Words>
  <Characters>43902</Characters>
  <Application>Microsoft Office Word</Application>
  <DocSecurity>4</DocSecurity>
  <Lines>365</Lines>
  <Paragraphs>103</Paragraphs>
  <ScaleCrop>false</ScaleCrop>
  <Company/>
  <LinksUpToDate>false</LinksUpToDate>
  <CharactersWithSpaces>51501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Chrystal</dc:creator>
  <cp:keywords/>
  <cp:lastModifiedBy>Carina Kemp</cp:lastModifiedBy>
  <cp:revision>2</cp:revision>
  <cp:lastPrinted>2025-09-05T00:46:00Z</cp:lastPrinted>
  <dcterms:created xsi:type="dcterms:W3CDTF">2026-07-15T11:23:00Z</dcterms:created>
  <dcterms:modified xsi:type="dcterms:W3CDTF">2026-07-15T11:23:00Z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0x010100B9529DF89E42BE43BDFE928054311CFA</vt:lpwstr>
  </property>
  <property fmtid="{D5CDD505-2E9C-101B-9397-08002B2CF9AE}" pid="3" name="MediaServiceImageTags">
    <vt:lpwstr/>
  </property>
</Properties>
</file>